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933E8">
      <w:pPr>
        <w:jc w:val="center"/>
        <w:outlineLvl w:val="9"/>
        <w:rPr>
          <w:rFonts w:hint="eastAsia" w:eastAsia="黑体"/>
          <w:b/>
          <w:sz w:val="72"/>
          <w:szCs w:val="72"/>
          <w:highlight w:val="none"/>
        </w:rPr>
      </w:pPr>
    </w:p>
    <w:p w14:paraId="0C2005C1">
      <w:pPr>
        <w:jc w:val="center"/>
        <w:outlineLvl w:val="9"/>
        <w:rPr>
          <w:rFonts w:hint="eastAsia" w:eastAsia="黑体"/>
          <w:b/>
          <w:sz w:val="72"/>
          <w:szCs w:val="72"/>
          <w:highlight w:val="none"/>
        </w:rPr>
      </w:pPr>
    </w:p>
    <w:p w14:paraId="7F4A724F">
      <w:pPr>
        <w:jc w:val="center"/>
        <w:outlineLvl w:val="9"/>
        <w:rPr>
          <w:rFonts w:hAnsi="黑体" w:eastAsia="黑体"/>
          <w:sz w:val="48"/>
          <w:szCs w:val="48"/>
          <w:highlight w:val="none"/>
        </w:rPr>
      </w:pPr>
    </w:p>
    <w:p w14:paraId="65D31849">
      <w:pPr>
        <w:jc w:val="center"/>
        <w:outlineLvl w:val="9"/>
        <w:rPr>
          <w:rFonts w:hint="eastAsia" w:hAnsi="黑体" w:eastAsia="黑体"/>
          <w:sz w:val="44"/>
          <w:szCs w:val="44"/>
          <w:highlight w:val="none"/>
          <w:lang w:eastAsia="zh-CN"/>
        </w:rPr>
      </w:pPr>
      <w:r>
        <w:rPr>
          <w:rFonts w:hint="eastAsia" w:hAnsi="黑体" w:eastAsia="黑体"/>
          <w:sz w:val="44"/>
          <w:szCs w:val="44"/>
          <w:highlight w:val="none"/>
          <w:lang w:eastAsia="zh-CN"/>
        </w:rPr>
        <w:t>第二十一届</w:t>
      </w:r>
    </w:p>
    <w:p w14:paraId="3AEED557">
      <w:pPr>
        <w:jc w:val="center"/>
        <w:outlineLvl w:val="9"/>
        <w:rPr>
          <w:rFonts w:eastAsia="黑体"/>
          <w:sz w:val="44"/>
          <w:szCs w:val="44"/>
          <w:highlight w:val="none"/>
        </w:rPr>
      </w:pPr>
      <w:r>
        <w:rPr>
          <w:rFonts w:hint="eastAsia" w:hAnsi="黑体" w:eastAsia="黑体"/>
          <w:sz w:val="44"/>
          <w:szCs w:val="44"/>
          <w:highlight w:val="none"/>
        </w:rPr>
        <w:t>全国</w:t>
      </w:r>
      <w:r>
        <w:rPr>
          <w:rFonts w:hAnsi="黑体" w:eastAsia="黑体"/>
          <w:sz w:val="44"/>
          <w:szCs w:val="44"/>
          <w:highlight w:val="none"/>
        </w:rPr>
        <w:t>环境友好科技竞赛</w:t>
      </w:r>
    </w:p>
    <w:p w14:paraId="3C0E01B8">
      <w:pPr>
        <w:jc w:val="center"/>
        <w:outlineLvl w:val="9"/>
        <w:rPr>
          <w:rFonts w:eastAsia="黑体"/>
          <w:sz w:val="44"/>
          <w:szCs w:val="44"/>
          <w:highlight w:val="none"/>
        </w:rPr>
      </w:pPr>
      <w:r>
        <w:rPr>
          <w:rFonts w:hAnsi="黑体" w:eastAsia="黑体"/>
          <w:sz w:val="44"/>
          <w:szCs w:val="44"/>
          <w:highlight w:val="none"/>
        </w:rPr>
        <w:t>指导手册</w:t>
      </w:r>
    </w:p>
    <w:p w14:paraId="4AA23EDE">
      <w:pPr>
        <w:outlineLvl w:val="9"/>
        <w:rPr>
          <w:highlight w:val="none"/>
        </w:rPr>
      </w:pPr>
    </w:p>
    <w:p w14:paraId="699F84D6">
      <w:pPr>
        <w:outlineLvl w:val="9"/>
        <w:rPr>
          <w:highlight w:val="none"/>
        </w:rPr>
      </w:pPr>
    </w:p>
    <w:p w14:paraId="271D1F0E">
      <w:pPr>
        <w:spacing w:after="187" w:afterLines="60"/>
        <w:outlineLvl w:val="9"/>
        <w:rPr>
          <w:szCs w:val="21"/>
          <w:highlight w:val="none"/>
        </w:rPr>
      </w:pPr>
    </w:p>
    <w:p w14:paraId="2FE20E31">
      <w:pPr>
        <w:spacing w:after="187" w:afterLines="60"/>
        <w:outlineLvl w:val="9"/>
        <w:rPr>
          <w:szCs w:val="21"/>
          <w:highlight w:val="none"/>
        </w:rPr>
      </w:pPr>
    </w:p>
    <w:p w14:paraId="5414AE1D">
      <w:pPr>
        <w:spacing w:after="187" w:afterLines="60"/>
        <w:outlineLvl w:val="9"/>
        <w:rPr>
          <w:rFonts w:eastAsia="仿宋_GB2312"/>
          <w:szCs w:val="21"/>
          <w:highlight w:val="none"/>
        </w:rPr>
      </w:pPr>
    </w:p>
    <w:p w14:paraId="369EFBB8">
      <w:pPr>
        <w:spacing w:after="187" w:afterLines="60"/>
        <w:outlineLvl w:val="9"/>
        <w:rPr>
          <w:rFonts w:eastAsia="仿宋_GB2312"/>
          <w:szCs w:val="21"/>
          <w:highlight w:val="none"/>
        </w:rPr>
      </w:pPr>
    </w:p>
    <w:p w14:paraId="75823B32">
      <w:pPr>
        <w:outlineLvl w:val="9"/>
        <w:rPr>
          <w:szCs w:val="21"/>
          <w:highlight w:val="none"/>
        </w:rPr>
      </w:pPr>
    </w:p>
    <w:p w14:paraId="3D26E744">
      <w:pPr>
        <w:jc w:val="center"/>
        <w:outlineLvl w:val="9"/>
        <w:rPr>
          <w:sz w:val="24"/>
          <w:szCs w:val="24"/>
          <w:highlight w:val="none"/>
        </w:rPr>
      </w:pPr>
      <w:r>
        <w:rPr>
          <w:rFonts w:hint="eastAsia"/>
          <w:sz w:val="24"/>
          <w:szCs w:val="24"/>
          <w:highlight w:val="none"/>
          <w:lang w:eastAsia="zh-CN"/>
        </w:rPr>
        <w:t>2026</w:t>
      </w:r>
      <w:r>
        <w:rPr>
          <w:sz w:val="24"/>
          <w:szCs w:val="24"/>
          <w:highlight w:val="none"/>
        </w:rPr>
        <w:t>年</w:t>
      </w:r>
      <w:r>
        <w:rPr>
          <w:rFonts w:hint="eastAsia"/>
          <w:sz w:val="24"/>
          <w:szCs w:val="24"/>
          <w:highlight w:val="none"/>
          <w:lang w:val="en-US" w:eastAsia="zh-CN"/>
        </w:rPr>
        <w:t>3</w:t>
      </w:r>
      <w:r>
        <w:rPr>
          <w:sz w:val="24"/>
          <w:szCs w:val="24"/>
          <w:highlight w:val="none"/>
        </w:rPr>
        <w:t>月</w:t>
      </w:r>
    </w:p>
    <w:p w14:paraId="006C57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sz w:val="36"/>
          <w:szCs w:val="36"/>
          <w:highlight w:val="none"/>
        </w:rPr>
        <w:sectPr>
          <w:headerReference r:id="rId3" w:type="default"/>
          <w:headerReference r:id="rId4"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561B2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sz w:val="36"/>
          <w:szCs w:val="36"/>
          <w:highlight w:val="none"/>
        </w:rPr>
      </w:pPr>
      <w:r>
        <w:rPr>
          <w:rFonts w:hint="eastAsia" w:ascii="楷体" w:hAnsi="楷体" w:eastAsia="楷体" w:cs="楷体"/>
          <w:sz w:val="36"/>
          <w:szCs w:val="36"/>
          <w:highlight w:val="none"/>
        </w:rPr>
        <w:t>目 录</w:t>
      </w:r>
    </w:p>
    <w:sdt>
      <w:sdtPr>
        <w:rPr>
          <w:rFonts w:hint="default" w:ascii="Times New Roman" w:hAnsi="Times New Roman" w:eastAsia="楷体" w:cs="Times New Roman"/>
          <w:szCs w:val="30"/>
          <w:highlight w:val="none"/>
          <w:lang w:val="en-US" w:eastAsia="zh-CN"/>
        </w:rPr>
        <w:id w:val="147473025"/>
        <w15:color w:val="DBDBDB"/>
        <w:docPartObj>
          <w:docPartGallery w:val="Table of Contents"/>
          <w:docPartUnique/>
        </w:docPartObj>
      </w:sdtPr>
      <w:sdtEndPr>
        <w:rPr>
          <w:rFonts w:hint="eastAsia" w:ascii="楷体" w:hAnsi="楷体" w:eastAsia="楷体" w:cs="楷体"/>
          <w:b/>
          <w:kern w:val="2"/>
          <w:sz w:val="21"/>
          <w:szCs w:val="30"/>
          <w:highlight w:val="none"/>
          <w:lang w:val="en-US" w:eastAsia="zh-CN" w:bidi="ar-SA"/>
        </w:rPr>
      </w:sdtEndPr>
      <w:sdtContent>
        <w:p w14:paraId="64D343E8">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TOC \o "1-2" \h \u </w:instrText>
          </w:r>
          <w:r>
            <w:rPr>
              <w:rFonts w:hint="default" w:ascii="Times New Roman" w:hAnsi="Times New Roman" w:eastAsia="楷体" w:cs="Times New Roman"/>
              <w:szCs w:val="30"/>
              <w:highlight w:val="none"/>
            </w:rPr>
            <w:fldChar w:fldCharType="separate"/>
          </w: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_Toc27895 </w:instrText>
          </w:r>
          <w:r>
            <w:rPr>
              <w:rFonts w:hint="default" w:ascii="Times New Roman" w:hAnsi="Times New Roman" w:eastAsia="楷体" w:cs="Times New Roman"/>
              <w:szCs w:val="30"/>
              <w:highlight w:val="none"/>
            </w:rPr>
            <w:fldChar w:fldCharType="separate"/>
          </w:r>
          <w:r>
            <w:rPr>
              <w:rFonts w:eastAsia="黑体"/>
              <w:bCs w:val="0"/>
              <w:szCs w:val="24"/>
              <w:highlight w:val="none"/>
            </w:rPr>
            <w:t>1. 竞赛章程</w:t>
          </w:r>
          <w:r>
            <w:rPr>
              <w:highlight w:val="none"/>
            </w:rPr>
            <w:tab/>
          </w:r>
          <w:r>
            <w:rPr>
              <w:highlight w:val="none"/>
            </w:rPr>
            <w:fldChar w:fldCharType="begin"/>
          </w:r>
          <w:r>
            <w:rPr>
              <w:highlight w:val="none"/>
            </w:rPr>
            <w:instrText xml:space="preserve"> PAGEREF _Toc27895 \h </w:instrText>
          </w:r>
          <w:r>
            <w:rPr>
              <w:highlight w:val="none"/>
            </w:rPr>
            <w:fldChar w:fldCharType="separate"/>
          </w:r>
          <w:r>
            <w:rPr>
              <w:highlight w:val="none"/>
            </w:rPr>
            <w:t>1</w:t>
          </w:r>
          <w:r>
            <w:rPr>
              <w:highlight w:val="none"/>
            </w:rPr>
            <w:fldChar w:fldCharType="end"/>
          </w:r>
          <w:r>
            <w:rPr>
              <w:rFonts w:hint="default" w:ascii="Times New Roman" w:hAnsi="Times New Roman" w:eastAsia="楷体" w:cs="Times New Roman"/>
              <w:szCs w:val="30"/>
              <w:highlight w:val="none"/>
            </w:rPr>
            <w:fldChar w:fldCharType="end"/>
          </w:r>
        </w:p>
        <w:p w14:paraId="3335DCB7">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_Toc19932 </w:instrText>
          </w:r>
          <w:r>
            <w:rPr>
              <w:rFonts w:hint="default" w:ascii="Times New Roman" w:hAnsi="Times New Roman" w:eastAsia="楷体" w:cs="Times New Roman"/>
              <w:szCs w:val="30"/>
              <w:highlight w:val="none"/>
            </w:rPr>
            <w:fldChar w:fldCharType="separate"/>
          </w:r>
          <w:r>
            <w:rPr>
              <w:rFonts w:hint="eastAsia"/>
              <w:bCs/>
              <w:highlight w:val="none"/>
            </w:rPr>
            <w:t>第一章 总则</w:t>
          </w:r>
          <w:r>
            <w:rPr>
              <w:highlight w:val="none"/>
            </w:rPr>
            <w:tab/>
          </w:r>
          <w:r>
            <w:rPr>
              <w:highlight w:val="none"/>
            </w:rPr>
            <w:fldChar w:fldCharType="begin"/>
          </w:r>
          <w:r>
            <w:rPr>
              <w:highlight w:val="none"/>
            </w:rPr>
            <w:instrText xml:space="preserve"> PAGEREF _Toc19932 \h </w:instrText>
          </w:r>
          <w:r>
            <w:rPr>
              <w:highlight w:val="none"/>
            </w:rPr>
            <w:fldChar w:fldCharType="separate"/>
          </w:r>
          <w:r>
            <w:rPr>
              <w:highlight w:val="none"/>
            </w:rPr>
            <w:t>1</w:t>
          </w:r>
          <w:r>
            <w:rPr>
              <w:highlight w:val="none"/>
            </w:rPr>
            <w:fldChar w:fldCharType="end"/>
          </w:r>
          <w:r>
            <w:rPr>
              <w:rFonts w:hint="default" w:ascii="Times New Roman" w:hAnsi="Times New Roman" w:eastAsia="楷体" w:cs="Times New Roman"/>
              <w:szCs w:val="30"/>
              <w:highlight w:val="none"/>
            </w:rPr>
            <w:fldChar w:fldCharType="end"/>
          </w:r>
        </w:p>
        <w:p w14:paraId="76AEA764">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_Toc17072 </w:instrText>
          </w:r>
          <w:r>
            <w:rPr>
              <w:rFonts w:hint="default" w:ascii="Times New Roman" w:hAnsi="Times New Roman" w:eastAsia="楷体" w:cs="Times New Roman"/>
              <w:szCs w:val="30"/>
              <w:highlight w:val="none"/>
            </w:rPr>
            <w:fldChar w:fldCharType="separate"/>
          </w:r>
          <w:r>
            <w:rPr>
              <w:rFonts w:hint="eastAsia"/>
              <w:bCs/>
              <w:highlight w:val="none"/>
            </w:rPr>
            <w:t xml:space="preserve">第二章 </w:t>
          </w:r>
          <w:r>
            <w:rPr>
              <w:rFonts w:hint="eastAsia"/>
              <w:bCs/>
              <w:highlight w:val="none"/>
              <w:lang w:val="en-US" w:eastAsia="zh-CN"/>
            </w:rPr>
            <w:t>竞赛</w:t>
          </w:r>
          <w:r>
            <w:rPr>
              <w:rFonts w:hint="eastAsia"/>
              <w:bCs/>
              <w:highlight w:val="none"/>
            </w:rPr>
            <w:t>组织架构</w:t>
          </w:r>
          <w:r>
            <w:rPr>
              <w:highlight w:val="none"/>
            </w:rPr>
            <w:tab/>
          </w:r>
          <w:r>
            <w:rPr>
              <w:highlight w:val="none"/>
            </w:rPr>
            <w:fldChar w:fldCharType="begin"/>
          </w:r>
          <w:r>
            <w:rPr>
              <w:highlight w:val="none"/>
            </w:rPr>
            <w:instrText xml:space="preserve"> PAGEREF _Toc17072 \h </w:instrText>
          </w:r>
          <w:r>
            <w:rPr>
              <w:highlight w:val="none"/>
            </w:rPr>
            <w:fldChar w:fldCharType="separate"/>
          </w:r>
          <w:r>
            <w:rPr>
              <w:highlight w:val="none"/>
            </w:rPr>
            <w:t>2</w:t>
          </w:r>
          <w:r>
            <w:rPr>
              <w:highlight w:val="none"/>
            </w:rPr>
            <w:fldChar w:fldCharType="end"/>
          </w:r>
          <w:r>
            <w:rPr>
              <w:rFonts w:hint="default" w:ascii="Times New Roman" w:hAnsi="Times New Roman" w:eastAsia="楷体" w:cs="Times New Roman"/>
              <w:szCs w:val="30"/>
              <w:highlight w:val="none"/>
            </w:rPr>
            <w:fldChar w:fldCharType="end"/>
          </w:r>
        </w:p>
        <w:p w14:paraId="34729688">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_Toc23008 </w:instrText>
          </w:r>
          <w:r>
            <w:rPr>
              <w:rFonts w:hint="default" w:ascii="Times New Roman" w:hAnsi="Times New Roman" w:eastAsia="楷体" w:cs="Times New Roman"/>
              <w:szCs w:val="30"/>
              <w:highlight w:val="none"/>
            </w:rPr>
            <w:fldChar w:fldCharType="separate"/>
          </w:r>
          <w:r>
            <w:rPr>
              <w:rFonts w:hint="eastAsia"/>
              <w:bCs/>
              <w:highlight w:val="none"/>
            </w:rPr>
            <w:t>第三章 竞赛筹备与举办</w:t>
          </w:r>
          <w:r>
            <w:rPr>
              <w:highlight w:val="none"/>
            </w:rPr>
            <w:tab/>
          </w:r>
          <w:r>
            <w:rPr>
              <w:highlight w:val="none"/>
            </w:rPr>
            <w:fldChar w:fldCharType="begin"/>
          </w:r>
          <w:r>
            <w:rPr>
              <w:highlight w:val="none"/>
            </w:rPr>
            <w:instrText xml:space="preserve"> PAGEREF _Toc23008 \h </w:instrText>
          </w:r>
          <w:r>
            <w:rPr>
              <w:highlight w:val="none"/>
            </w:rPr>
            <w:fldChar w:fldCharType="separate"/>
          </w:r>
          <w:r>
            <w:rPr>
              <w:highlight w:val="none"/>
            </w:rPr>
            <w:t>3</w:t>
          </w:r>
          <w:r>
            <w:rPr>
              <w:highlight w:val="none"/>
            </w:rPr>
            <w:fldChar w:fldCharType="end"/>
          </w:r>
          <w:r>
            <w:rPr>
              <w:rFonts w:hint="default" w:ascii="Times New Roman" w:hAnsi="Times New Roman" w:eastAsia="楷体" w:cs="Times New Roman"/>
              <w:szCs w:val="30"/>
              <w:highlight w:val="none"/>
            </w:rPr>
            <w:fldChar w:fldCharType="end"/>
          </w:r>
        </w:p>
        <w:p w14:paraId="65DFC43D">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_Toc16058 </w:instrText>
          </w:r>
          <w:r>
            <w:rPr>
              <w:rFonts w:hint="default" w:ascii="Times New Roman" w:hAnsi="Times New Roman" w:eastAsia="楷体" w:cs="Times New Roman"/>
              <w:szCs w:val="30"/>
              <w:highlight w:val="none"/>
            </w:rPr>
            <w:fldChar w:fldCharType="separate"/>
          </w:r>
          <w:r>
            <w:rPr>
              <w:rFonts w:hint="eastAsia"/>
              <w:bCs/>
              <w:highlight w:val="none"/>
            </w:rPr>
            <w:t xml:space="preserve">第四章 </w:t>
          </w:r>
          <w:r>
            <w:rPr>
              <w:rFonts w:hint="eastAsia"/>
              <w:bCs/>
              <w:highlight w:val="none"/>
              <w:lang w:val="en-US" w:eastAsia="zh-CN"/>
            </w:rPr>
            <w:t>竞赛</w:t>
          </w:r>
          <w:r>
            <w:rPr>
              <w:rFonts w:hint="eastAsia"/>
              <w:bCs/>
              <w:highlight w:val="none"/>
            </w:rPr>
            <w:t>经费使用与管理</w:t>
          </w:r>
          <w:r>
            <w:rPr>
              <w:highlight w:val="none"/>
            </w:rPr>
            <w:tab/>
          </w:r>
          <w:r>
            <w:rPr>
              <w:highlight w:val="none"/>
            </w:rPr>
            <w:fldChar w:fldCharType="begin"/>
          </w:r>
          <w:r>
            <w:rPr>
              <w:highlight w:val="none"/>
            </w:rPr>
            <w:instrText xml:space="preserve"> PAGEREF _Toc16058 \h </w:instrText>
          </w:r>
          <w:r>
            <w:rPr>
              <w:highlight w:val="none"/>
            </w:rPr>
            <w:fldChar w:fldCharType="separate"/>
          </w:r>
          <w:r>
            <w:rPr>
              <w:highlight w:val="none"/>
            </w:rPr>
            <w:t>6</w:t>
          </w:r>
          <w:r>
            <w:rPr>
              <w:highlight w:val="none"/>
            </w:rPr>
            <w:fldChar w:fldCharType="end"/>
          </w:r>
          <w:r>
            <w:rPr>
              <w:rFonts w:hint="default" w:ascii="Times New Roman" w:hAnsi="Times New Roman" w:eastAsia="楷体" w:cs="Times New Roman"/>
              <w:szCs w:val="30"/>
              <w:highlight w:val="none"/>
            </w:rPr>
            <w:fldChar w:fldCharType="end"/>
          </w:r>
        </w:p>
        <w:p w14:paraId="3EB9C4D7">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_Toc11928 </w:instrText>
          </w:r>
          <w:r>
            <w:rPr>
              <w:rFonts w:hint="default" w:ascii="Times New Roman" w:hAnsi="Times New Roman" w:eastAsia="楷体" w:cs="Times New Roman"/>
              <w:szCs w:val="30"/>
              <w:highlight w:val="none"/>
            </w:rPr>
            <w:fldChar w:fldCharType="separate"/>
          </w:r>
          <w:r>
            <w:rPr>
              <w:rFonts w:hint="eastAsia"/>
              <w:bCs/>
              <w:highlight w:val="none"/>
            </w:rPr>
            <w:t xml:space="preserve">第五章 </w:t>
          </w:r>
          <w:r>
            <w:rPr>
              <w:rFonts w:hint="eastAsia"/>
              <w:bCs/>
              <w:highlight w:val="none"/>
              <w:lang w:val="en-US" w:eastAsia="zh-CN"/>
            </w:rPr>
            <w:t>本届竞赛</w:t>
          </w:r>
          <w:r>
            <w:rPr>
              <w:rFonts w:hint="eastAsia"/>
              <w:bCs/>
              <w:highlight w:val="none"/>
            </w:rPr>
            <w:t>时间安排</w:t>
          </w:r>
          <w:r>
            <w:rPr>
              <w:highlight w:val="none"/>
            </w:rPr>
            <w:tab/>
          </w:r>
          <w:r>
            <w:rPr>
              <w:highlight w:val="none"/>
            </w:rPr>
            <w:fldChar w:fldCharType="begin"/>
          </w:r>
          <w:r>
            <w:rPr>
              <w:highlight w:val="none"/>
            </w:rPr>
            <w:instrText xml:space="preserve"> PAGEREF _Toc11928 \h </w:instrText>
          </w:r>
          <w:r>
            <w:rPr>
              <w:highlight w:val="none"/>
            </w:rPr>
            <w:fldChar w:fldCharType="separate"/>
          </w:r>
          <w:r>
            <w:rPr>
              <w:highlight w:val="none"/>
            </w:rPr>
            <w:t>6</w:t>
          </w:r>
          <w:r>
            <w:rPr>
              <w:highlight w:val="none"/>
            </w:rPr>
            <w:fldChar w:fldCharType="end"/>
          </w:r>
          <w:r>
            <w:rPr>
              <w:rFonts w:hint="default" w:ascii="Times New Roman" w:hAnsi="Times New Roman" w:eastAsia="楷体" w:cs="Times New Roman"/>
              <w:szCs w:val="30"/>
              <w:highlight w:val="none"/>
            </w:rPr>
            <w:fldChar w:fldCharType="end"/>
          </w:r>
        </w:p>
        <w:p w14:paraId="73B42095">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_Toc27304 </w:instrText>
          </w:r>
          <w:r>
            <w:rPr>
              <w:rFonts w:hint="default" w:ascii="Times New Roman" w:hAnsi="Times New Roman" w:eastAsia="楷体" w:cs="Times New Roman"/>
              <w:szCs w:val="30"/>
              <w:highlight w:val="none"/>
            </w:rPr>
            <w:fldChar w:fldCharType="separate"/>
          </w:r>
          <w:r>
            <w:rPr>
              <w:rFonts w:hint="eastAsia"/>
              <w:bCs/>
              <w:highlight w:val="none"/>
              <w:lang w:val="en-US" w:eastAsia="zh-CN"/>
            </w:rPr>
            <w:t>第六章 附则</w:t>
          </w:r>
          <w:r>
            <w:rPr>
              <w:highlight w:val="none"/>
            </w:rPr>
            <w:tab/>
          </w:r>
          <w:r>
            <w:rPr>
              <w:highlight w:val="none"/>
            </w:rPr>
            <w:fldChar w:fldCharType="begin"/>
          </w:r>
          <w:r>
            <w:rPr>
              <w:highlight w:val="none"/>
            </w:rPr>
            <w:instrText xml:space="preserve"> PAGEREF _Toc27304 \h </w:instrText>
          </w:r>
          <w:r>
            <w:rPr>
              <w:highlight w:val="none"/>
            </w:rPr>
            <w:fldChar w:fldCharType="separate"/>
          </w:r>
          <w:r>
            <w:rPr>
              <w:highlight w:val="none"/>
            </w:rPr>
            <w:t>7</w:t>
          </w:r>
          <w:r>
            <w:rPr>
              <w:highlight w:val="none"/>
            </w:rPr>
            <w:fldChar w:fldCharType="end"/>
          </w:r>
          <w:r>
            <w:rPr>
              <w:rFonts w:hint="default" w:ascii="Times New Roman" w:hAnsi="Times New Roman" w:eastAsia="楷体" w:cs="Times New Roman"/>
              <w:szCs w:val="30"/>
              <w:highlight w:val="none"/>
            </w:rPr>
            <w:fldChar w:fldCharType="end"/>
          </w:r>
        </w:p>
        <w:p w14:paraId="31921FEE">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_Toc7854 </w:instrText>
          </w:r>
          <w:r>
            <w:rPr>
              <w:rFonts w:hint="default" w:ascii="Times New Roman" w:hAnsi="Times New Roman" w:eastAsia="楷体" w:cs="Times New Roman"/>
              <w:szCs w:val="30"/>
              <w:highlight w:val="none"/>
            </w:rPr>
            <w:fldChar w:fldCharType="separate"/>
          </w:r>
          <w:r>
            <w:rPr>
              <w:rFonts w:eastAsia="黑体"/>
              <w:bCs w:val="0"/>
              <w:szCs w:val="24"/>
              <w:highlight w:val="none"/>
            </w:rPr>
            <w:t>2. 竞赛组织</w:t>
          </w:r>
          <w:r>
            <w:rPr>
              <w:highlight w:val="none"/>
            </w:rPr>
            <w:tab/>
          </w:r>
          <w:r>
            <w:rPr>
              <w:highlight w:val="none"/>
            </w:rPr>
            <w:fldChar w:fldCharType="begin"/>
          </w:r>
          <w:r>
            <w:rPr>
              <w:highlight w:val="none"/>
            </w:rPr>
            <w:instrText xml:space="preserve"> PAGEREF _Toc7854 \h </w:instrText>
          </w:r>
          <w:r>
            <w:rPr>
              <w:highlight w:val="none"/>
            </w:rPr>
            <w:fldChar w:fldCharType="separate"/>
          </w:r>
          <w:r>
            <w:rPr>
              <w:highlight w:val="none"/>
            </w:rPr>
            <w:t>8</w:t>
          </w:r>
          <w:r>
            <w:rPr>
              <w:highlight w:val="none"/>
            </w:rPr>
            <w:fldChar w:fldCharType="end"/>
          </w:r>
          <w:r>
            <w:rPr>
              <w:rFonts w:hint="default" w:ascii="Times New Roman" w:hAnsi="Times New Roman" w:eastAsia="楷体" w:cs="Times New Roman"/>
              <w:szCs w:val="30"/>
              <w:highlight w:val="none"/>
            </w:rPr>
            <w:fldChar w:fldCharType="end"/>
          </w:r>
        </w:p>
        <w:p w14:paraId="25931012">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highlight w:val="none"/>
            </w:rPr>
          </w:pP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HYPERLINK \l _Toc26732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lang w:val="en-US" w:eastAsia="zh-CN"/>
            </w:rPr>
            <w:t xml:space="preserve">2.1 </w:t>
          </w:r>
          <w:r>
            <w:rPr>
              <w:rFonts w:hint="default" w:ascii="Times New Roman" w:hAnsi="Times New Roman" w:eastAsia="宋体" w:cs="Times New Roman"/>
              <w:szCs w:val="30"/>
              <w:highlight w:val="none"/>
            </w:rPr>
            <w:t>竞赛主办单位</w:t>
          </w:r>
          <w:r>
            <w:rPr>
              <w:rFonts w:hint="default" w:ascii="Times New Roman" w:hAnsi="Times New Roman" w:eastAsia="宋体" w:cs="Times New Roman"/>
              <w:szCs w:val="30"/>
              <w:highlight w:val="none"/>
            </w:rPr>
            <w:tab/>
          </w: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PAGEREF _Toc26732 \h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rPr>
            <w:t>8</w:t>
          </w:r>
          <w:r>
            <w:rPr>
              <w:rFonts w:hint="default" w:ascii="Times New Roman" w:hAnsi="Times New Roman" w:eastAsia="宋体" w:cs="Times New Roman"/>
              <w:szCs w:val="30"/>
              <w:highlight w:val="none"/>
            </w:rPr>
            <w:fldChar w:fldCharType="end"/>
          </w:r>
          <w:r>
            <w:rPr>
              <w:rFonts w:hint="default" w:ascii="Times New Roman" w:hAnsi="Times New Roman" w:eastAsia="宋体" w:cs="Times New Roman"/>
              <w:szCs w:val="30"/>
              <w:highlight w:val="none"/>
            </w:rPr>
            <w:fldChar w:fldCharType="end"/>
          </w:r>
        </w:p>
        <w:p w14:paraId="417C6492">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highlight w:val="none"/>
            </w:rPr>
          </w:pP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HYPERLINK \l _Toc15982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lang w:val="en-US" w:eastAsia="zh-CN"/>
            </w:rPr>
            <w:t>2.2 竞赛承办单位</w:t>
          </w:r>
          <w:r>
            <w:rPr>
              <w:rFonts w:hint="default" w:ascii="Times New Roman" w:hAnsi="Times New Roman" w:eastAsia="宋体" w:cs="Times New Roman"/>
              <w:szCs w:val="30"/>
              <w:highlight w:val="none"/>
            </w:rPr>
            <w:tab/>
          </w: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PAGEREF _Toc15982 \h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rPr>
            <w:t>8</w:t>
          </w:r>
          <w:r>
            <w:rPr>
              <w:rFonts w:hint="default" w:ascii="Times New Roman" w:hAnsi="Times New Roman" w:eastAsia="宋体" w:cs="Times New Roman"/>
              <w:szCs w:val="30"/>
              <w:highlight w:val="none"/>
            </w:rPr>
            <w:fldChar w:fldCharType="end"/>
          </w:r>
          <w:r>
            <w:rPr>
              <w:rFonts w:hint="default" w:ascii="Times New Roman" w:hAnsi="Times New Roman" w:eastAsia="宋体" w:cs="Times New Roman"/>
              <w:szCs w:val="30"/>
              <w:highlight w:val="none"/>
            </w:rPr>
            <w:fldChar w:fldCharType="end"/>
          </w:r>
        </w:p>
        <w:p w14:paraId="2D2276E8">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highlight w:val="none"/>
            </w:rPr>
          </w:pP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HYPERLINK \l _Toc13476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lang w:val="en-US" w:eastAsia="zh-CN"/>
            </w:rPr>
            <w:t>2.3 竞赛协办单位</w:t>
          </w:r>
          <w:r>
            <w:rPr>
              <w:rFonts w:hint="default" w:ascii="Times New Roman" w:hAnsi="Times New Roman" w:eastAsia="宋体" w:cs="Times New Roman"/>
              <w:szCs w:val="30"/>
              <w:highlight w:val="none"/>
            </w:rPr>
            <w:tab/>
          </w: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PAGEREF _Toc13476 \h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rPr>
            <w:t>8</w:t>
          </w:r>
          <w:r>
            <w:rPr>
              <w:rFonts w:hint="default" w:ascii="Times New Roman" w:hAnsi="Times New Roman" w:eastAsia="宋体" w:cs="Times New Roman"/>
              <w:szCs w:val="30"/>
              <w:highlight w:val="none"/>
            </w:rPr>
            <w:fldChar w:fldCharType="end"/>
          </w:r>
          <w:r>
            <w:rPr>
              <w:rFonts w:hint="default" w:ascii="Times New Roman" w:hAnsi="Times New Roman" w:eastAsia="宋体" w:cs="Times New Roman"/>
              <w:szCs w:val="30"/>
              <w:highlight w:val="none"/>
            </w:rPr>
            <w:fldChar w:fldCharType="end"/>
          </w:r>
        </w:p>
        <w:p w14:paraId="5FE1AC66">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_Toc29565 </w:instrText>
          </w:r>
          <w:r>
            <w:rPr>
              <w:rFonts w:hint="default" w:ascii="Times New Roman" w:hAnsi="Times New Roman" w:eastAsia="楷体" w:cs="Times New Roman"/>
              <w:szCs w:val="30"/>
              <w:highlight w:val="none"/>
            </w:rPr>
            <w:fldChar w:fldCharType="separate"/>
          </w:r>
          <w:r>
            <w:rPr>
              <w:rFonts w:eastAsia="黑体"/>
              <w:bCs w:val="0"/>
              <w:szCs w:val="24"/>
              <w:highlight w:val="none"/>
            </w:rPr>
            <w:t xml:space="preserve">3. </w:t>
          </w:r>
          <w:r>
            <w:rPr>
              <w:rFonts w:hint="eastAsia" w:eastAsia="黑体"/>
              <w:bCs w:val="0"/>
              <w:szCs w:val="24"/>
              <w:highlight w:val="none"/>
              <w:lang w:val="en-US" w:eastAsia="zh-CN"/>
            </w:rPr>
            <w:t>竞赛</w:t>
          </w:r>
          <w:r>
            <w:rPr>
              <w:rFonts w:eastAsia="黑体"/>
              <w:bCs w:val="0"/>
              <w:szCs w:val="24"/>
              <w:highlight w:val="none"/>
            </w:rPr>
            <w:t>奖项设置</w:t>
          </w:r>
          <w:r>
            <w:rPr>
              <w:highlight w:val="none"/>
            </w:rPr>
            <w:tab/>
          </w:r>
          <w:r>
            <w:rPr>
              <w:highlight w:val="none"/>
            </w:rPr>
            <w:fldChar w:fldCharType="begin"/>
          </w:r>
          <w:r>
            <w:rPr>
              <w:highlight w:val="none"/>
            </w:rPr>
            <w:instrText xml:space="preserve"> PAGEREF _Toc29565 \h </w:instrText>
          </w:r>
          <w:r>
            <w:rPr>
              <w:highlight w:val="none"/>
            </w:rPr>
            <w:fldChar w:fldCharType="separate"/>
          </w:r>
          <w:r>
            <w:rPr>
              <w:highlight w:val="none"/>
            </w:rPr>
            <w:t>10</w:t>
          </w:r>
          <w:r>
            <w:rPr>
              <w:highlight w:val="none"/>
            </w:rPr>
            <w:fldChar w:fldCharType="end"/>
          </w:r>
          <w:r>
            <w:rPr>
              <w:rFonts w:hint="default" w:ascii="Times New Roman" w:hAnsi="Times New Roman" w:eastAsia="楷体" w:cs="Times New Roman"/>
              <w:szCs w:val="30"/>
              <w:highlight w:val="none"/>
            </w:rPr>
            <w:fldChar w:fldCharType="end"/>
          </w:r>
        </w:p>
        <w:p w14:paraId="64019A07">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highlight w:val="none"/>
            </w:rPr>
          </w:pP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HYPERLINK \l _Toc29685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lang w:val="en-US" w:eastAsia="zh-CN"/>
            </w:rPr>
            <w:t>3.1 奖项奖励</w:t>
          </w:r>
          <w:r>
            <w:rPr>
              <w:rFonts w:hint="default" w:ascii="Times New Roman" w:hAnsi="Times New Roman" w:eastAsia="宋体" w:cs="Times New Roman"/>
              <w:szCs w:val="30"/>
              <w:highlight w:val="none"/>
            </w:rPr>
            <w:tab/>
          </w: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PAGEREF _Toc29685 \h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rPr>
            <w:t>10</w:t>
          </w:r>
          <w:r>
            <w:rPr>
              <w:rFonts w:hint="default" w:ascii="Times New Roman" w:hAnsi="Times New Roman" w:eastAsia="宋体" w:cs="Times New Roman"/>
              <w:szCs w:val="30"/>
              <w:highlight w:val="none"/>
            </w:rPr>
            <w:fldChar w:fldCharType="end"/>
          </w:r>
          <w:r>
            <w:rPr>
              <w:rFonts w:hint="default" w:ascii="Times New Roman" w:hAnsi="Times New Roman" w:eastAsia="宋体" w:cs="Times New Roman"/>
              <w:szCs w:val="30"/>
              <w:highlight w:val="none"/>
            </w:rPr>
            <w:fldChar w:fldCharType="end"/>
          </w:r>
        </w:p>
        <w:p w14:paraId="7EF00A8C">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highlight w:val="none"/>
            </w:rPr>
          </w:pP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HYPERLINK \l _Toc5940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lang w:val="en-US" w:eastAsia="zh-CN"/>
            </w:rPr>
            <w:t>3.2 加分奖励</w:t>
          </w:r>
          <w:r>
            <w:rPr>
              <w:rFonts w:hint="default" w:ascii="Times New Roman" w:hAnsi="Times New Roman" w:eastAsia="宋体" w:cs="Times New Roman"/>
              <w:szCs w:val="30"/>
              <w:highlight w:val="none"/>
            </w:rPr>
            <w:tab/>
          </w:r>
          <w:r>
            <w:rPr>
              <w:rFonts w:hint="default" w:ascii="Times New Roman" w:hAnsi="Times New Roman" w:eastAsia="宋体" w:cs="Times New Roman"/>
              <w:szCs w:val="30"/>
              <w:highlight w:val="none"/>
            </w:rPr>
            <w:fldChar w:fldCharType="begin"/>
          </w:r>
          <w:r>
            <w:rPr>
              <w:rFonts w:hint="default" w:ascii="Times New Roman" w:hAnsi="Times New Roman" w:eastAsia="宋体" w:cs="Times New Roman"/>
              <w:szCs w:val="30"/>
              <w:highlight w:val="none"/>
            </w:rPr>
            <w:instrText xml:space="preserve"> PAGEREF _Toc5940 \h </w:instrText>
          </w:r>
          <w:r>
            <w:rPr>
              <w:rFonts w:hint="default" w:ascii="Times New Roman" w:hAnsi="Times New Roman" w:eastAsia="宋体" w:cs="Times New Roman"/>
              <w:szCs w:val="30"/>
              <w:highlight w:val="none"/>
            </w:rPr>
            <w:fldChar w:fldCharType="separate"/>
          </w:r>
          <w:r>
            <w:rPr>
              <w:rFonts w:hint="default" w:ascii="Times New Roman" w:hAnsi="Times New Roman" w:eastAsia="宋体" w:cs="Times New Roman"/>
              <w:szCs w:val="30"/>
              <w:highlight w:val="none"/>
            </w:rPr>
            <w:t>11</w:t>
          </w:r>
          <w:r>
            <w:rPr>
              <w:rFonts w:hint="default" w:ascii="Times New Roman" w:hAnsi="Times New Roman" w:eastAsia="宋体" w:cs="Times New Roman"/>
              <w:szCs w:val="30"/>
              <w:highlight w:val="none"/>
            </w:rPr>
            <w:fldChar w:fldCharType="end"/>
          </w:r>
          <w:r>
            <w:rPr>
              <w:rFonts w:hint="default" w:ascii="Times New Roman" w:hAnsi="Times New Roman" w:eastAsia="宋体" w:cs="Times New Roman"/>
              <w:szCs w:val="30"/>
              <w:highlight w:val="none"/>
            </w:rPr>
            <w:fldChar w:fldCharType="end"/>
          </w:r>
        </w:p>
        <w:p w14:paraId="3189F42D">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rPr>
              <w:highlight w:val="none"/>
            </w:rPr>
          </w:pPr>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_Toc26867 </w:instrText>
          </w:r>
          <w:r>
            <w:rPr>
              <w:rFonts w:hint="default" w:ascii="Times New Roman" w:hAnsi="Times New Roman" w:eastAsia="楷体" w:cs="Times New Roman"/>
              <w:szCs w:val="30"/>
              <w:highlight w:val="none"/>
            </w:rPr>
            <w:fldChar w:fldCharType="separate"/>
          </w:r>
          <w:r>
            <w:rPr>
              <w:rFonts w:hint="eastAsia" w:eastAsia="黑体"/>
              <w:bCs w:val="0"/>
              <w:szCs w:val="24"/>
              <w:highlight w:val="none"/>
              <w:lang w:val="en-US" w:eastAsia="zh-CN"/>
            </w:rPr>
            <w:t>4. 竞赛FAQ</w:t>
          </w:r>
          <w:r>
            <w:rPr>
              <w:highlight w:val="none"/>
            </w:rPr>
            <w:tab/>
          </w:r>
          <w:r>
            <w:rPr>
              <w:highlight w:val="none"/>
            </w:rPr>
            <w:fldChar w:fldCharType="begin"/>
          </w:r>
          <w:r>
            <w:rPr>
              <w:highlight w:val="none"/>
            </w:rPr>
            <w:instrText xml:space="preserve"> PAGEREF _Toc26867 \h </w:instrText>
          </w:r>
          <w:r>
            <w:rPr>
              <w:highlight w:val="none"/>
            </w:rPr>
            <w:fldChar w:fldCharType="separate"/>
          </w:r>
          <w:r>
            <w:rPr>
              <w:highlight w:val="none"/>
            </w:rPr>
            <w:t>12</w:t>
          </w:r>
          <w:r>
            <w:rPr>
              <w:highlight w:val="none"/>
            </w:rPr>
            <w:fldChar w:fldCharType="end"/>
          </w:r>
          <w:r>
            <w:rPr>
              <w:rFonts w:hint="default" w:ascii="Times New Roman" w:hAnsi="Times New Roman" w:eastAsia="楷体" w:cs="Times New Roman"/>
              <w:szCs w:val="30"/>
              <w:highlight w:val="none"/>
            </w:rPr>
            <w:fldChar w:fldCharType="end"/>
          </w:r>
        </w:p>
        <w:p w14:paraId="1702A970">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rPr>
              <w:highlight w:val="none"/>
            </w:rPr>
          </w:pPr>
          <w:r>
            <w:rPr>
              <w:rFonts w:hint="default" w:ascii="Times New Roman" w:hAnsi="Times New Roman" w:eastAsia="楷体" w:cs="Times New Roman"/>
              <w:szCs w:val="30"/>
              <w:highlight w:val="none"/>
            </w:rPr>
            <w:fldChar w:fldCharType="end"/>
          </w:r>
          <w:bookmarkStart w:id="0" w:name="_Toc507704081"/>
          <w:bookmarkStart w:id="1" w:name="_Toc133220896"/>
          <w:bookmarkStart w:id="2" w:name="_Toc133224596"/>
          <w:bookmarkStart w:id="3" w:name="_Toc133226246"/>
        </w:p>
      </w:sdtContent>
    </w:sdt>
    <w:p w14:paraId="0937CD4E">
      <w:pPr>
        <w:pStyle w:val="59"/>
        <w:numPr>
          <w:ilvl w:val="0"/>
          <w:numId w:val="11"/>
        </w:numPr>
        <w:tabs>
          <w:tab w:val="right" w:leader="dot" w:pos="4877"/>
          <w:tab w:val="clear" w:pos="540"/>
          <w:tab w:val="clear" w:pos="4867"/>
        </w:tabs>
        <w:outlineLvl w:val="0"/>
        <w:rPr>
          <w:rFonts w:eastAsia="黑体"/>
          <w:b w:val="0"/>
          <w:bCs w:val="0"/>
          <w:sz w:val="24"/>
          <w:szCs w:val="24"/>
          <w:highlight w:val="none"/>
        </w:rPr>
        <w:sectPr>
          <w:footerReference r:id="rId5" w:type="default"/>
          <w:footerReference r:id="rId6"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bookmarkStart w:id="4" w:name="_Toc27895"/>
    </w:p>
    <w:p w14:paraId="16CA8105">
      <w:pPr>
        <w:pStyle w:val="59"/>
        <w:numPr>
          <w:ilvl w:val="0"/>
          <w:numId w:val="11"/>
        </w:numPr>
        <w:tabs>
          <w:tab w:val="right" w:leader="dot" w:pos="4877"/>
          <w:tab w:val="clear" w:pos="540"/>
          <w:tab w:val="clear" w:pos="4867"/>
        </w:tabs>
        <w:outlineLvl w:val="0"/>
        <w:rPr>
          <w:rFonts w:eastAsia="黑体"/>
          <w:b w:val="0"/>
          <w:bCs w:val="0"/>
          <w:sz w:val="24"/>
          <w:szCs w:val="24"/>
          <w:highlight w:val="none"/>
        </w:rPr>
      </w:pPr>
      <w:r>
        <w:rPr>
          <w:rFonts w:eastAsia="黑体"/>
          <w:b w:val="0"/>
          <w:bCs w:val="0"/>
          <w:sz w:val="24"/>
          <w:szCs w:val="24"/>
          <w:highlight w:val="none"/>
        </w:rPr>
        <w:t>竞赛章程</w:t>
      </w:r>
      <w:bookmarkEnd w:id="0"/>
      <w:bookmarkEnd w:id="1"/>
      <w:bookmarkEnd w:id="2"/>
      <w:bookmarkEnd w:id="3"/>
      <w:bookmarkEnd w:id="4"/>
    </w:p>
    <w:p w14:paraId="4DAA2797">
      <w:pPr>
        <w:spacing w:line="360" w:lineRule="auto"/>
        <w:jc w:val="center"/>
        <w:outlineLvl w:val="1"/>
        <w:rPr>
          <w:rFonts w:hint="eastAsia"/>
          <w:b/>
          <w:bCs/>
          <w:highlight w:val="none"/>
        </w:rPr>
      </w:pPr>
      <w:bookmarkStart w:id="5" w:name="_Toc19932"/>
      <w:r>
        <w:rPr>
          <w:rFonts w:hint="eastAsia"/>
          <w:b/>
          <w:bCs/>
          <w:highlight w:val="none"/>
        </w:rPr>
        <w:t>第一章 总则</w:t>
      </w:r>
      <w:bookmarkEnd w:id="5"/>
    </w:p>
    <w:p w14:paraId="3FAB1A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第一条</w:t>
      </w:r>
      <w:r>
        <w:rPr>
          <w:rFonts w:hint="eastAsia" w:ascii="宋体" w:hAnsi="宋体"/>
          <w:szCs w:val="21"/>
          <w:highlight w:val="none"/>
        </w:rPr>
        <w:t xml:space="preserve"> </w:t>
      </w:r>
      <w:r>
        <w:rPr>
          <w:rFonts w:hint="default" w:ascii="Times New Roman" w:hAnsi="Times New Roman" w:cs="Times New Roman"/>
          <w:szCs w:val="21"/>
          <w:highlight w:val="none"/>
        </w:rPr>
        <w:t>全国环境友好科技竞赛（以下称</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default" w:ascii="Times New Roman" w:hAnsi="Times New Roman" w:cs="Times New Roman"/>
          <w:szCs w:val="21"/>
          <w:highlight w:val="none"/>
        </w:rPr>
        <w:t>）于200</w:t>
      </w:r>
      <w:r>
        <w:rPr>
          <w:rFonts w:hint="eastAsia" w:cs="Times New Roman"/>
          <w:szCs w:val="21"/>
          <w:highlight w:val="none"/>
          <w:lang w:val="en-US" w:eastAsia="zh-CN"/>
        </w:rPr>
        <w:t>5</w:t>
      </w:r>
      <w:r>
        <w:rPr>
          <w:rFonts w:hint="default" w:ascii="Times New Roman" w:hAnsi="Times New Roman" w:cs="Times New Roman"/>
          <w:szCs w:val="21"/>
          <w:highlight w:val="none"/>
        </w:rPr>
        <w:t>年由清华大学发起，为从事环境及相关学科领域研究的学生搭建高起点、高水平、最前沿的科技竞赛平台。</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default" w:ascii="Times New Roman" w:hAnsi="Times New Roman" w:cs="Times New Roman"/>
          <w:szCs w:val="21"/>
          <w:highlight w:val="none"/>
        </w:rPr>
        <w:t>面向全国</w:t>
      </w:r>
      <w:r>
        <w:rPr>
          <w:rFonts w:hint="eastAsia" w:cs="Times New Roman"/>
          <w:szCs w:val="21"/>
          <w:highlight w:val="none"/>
          <w:lang w:val="en-US" w:eastAsia="zh-CN"/>
        </w:rPr>
        <w:t>各高校学生，</w:t>
      </w:r>
      <w:r>
        <w:rPr>
          <w:rFonts w:hint="default" w:ascii="Times New Roman" w:hAnsi="Times New Roman" w:cs="Times New Roman"/>
          <w:szCs w:val="21"/>
          <w:highlight w:val="none"/>
        </w:rPr>
        <w:t>倡导资源节约和环境友好理念，</w:t>
      </w:r>
      <w:r>
        <w:rPr>
          <w:rFonts w:hint="eastAsia" w:cs="Times New Roman"/>
          <w:szCs w:val="21"/>
          <w:highlight w:val="none"/>
          <w:lang w:val="en-US" w:eastAsia="zh-CN"/>
        </w:rPr>
        <w:t>通过</w:t>
      </w:r>
      <w:r>
        <w:rPr>
          <w:rFonts w:hint="default" w:ascii="Times New Roman" w:hAnsi="Times New Roman" w:cs="Times New Roman"/>
          <w:szCs w:val="21"/>
          <w:highlight w:val="none"/>
        </w:rPr>
        <w:t>科技竞赛</w:t>
      </w:r>
      <w:r>
        <w:rPr>
          <w:rFonts w:hint="eastAsia" w:cs="Times New Roman"/>
          <w:szCs w:val="21"/>
          <w:highlight w:val="none"/>
          <w:lang w:val="en-US" w:eastAsia="zh-CN"/>
        </w:rPr>
        <w:t>等</w:t>
      </w:r>
      <w:r>
        <w:rPr>
          <w:rFonts w:hint="default" w:ascii="Times New Roman" w:hAnsi="Times New Roman" w:cs="Times New Roman"/>
          <w:szCs w:val="21"/>
          <w:highlight w:val="none"/>
        </w:rPr>
        <w:t>方式，鼓励学生以其独创的科技理念、发明制造和创新创业实践参与到资源节约型</w:t>
      </w:r>
      <w:r>
        <w:rPr>
          <w:rFonts w:hint="eastAsia" w:cs="Times New Roman"/>
          <w:szCs w:val="21"/>
          <w:highlight w:val="none"/>
          <w:lang w:val="en-US" w:eastAsia="zh-CN"/>
        </w:rPr>
        <w:t>和</w:t>
      </w:r>
      <w:r>
        <w:rPr>
          <w:rFonts w:hint="default" w:ascii="Times New Roman" w:hAnsi="Times New Roman" w:cs="Times New Roman"/>
          <w:szCs w:val="21"/>
          <w:highlight w:val="none"/>
        </w:rPr>
        <w:t>环境友好型的和谐社会建设中来，在环境保护领域进行科技创新。通过赛课结合方式，</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eastAsia" w:cs="Times New Roman"/>
          <w:szCs w:val="21"/>
          <w:highlight w:val="none"/>
          <w:lang w:val="en-US" w:eastAsia="zh-CN"/>
        </w:rPr>
        <w:t>旨在</w:t>
      </w:r>
      <w:r>
        <w:rPr>
          <w:rFonts w:hint="default" w:ascii="Times New Roman" w:hAnsi="Times New Roman" w:cs="Times New Roman"/>
          <w:szCs w:val="21"/>
          <w:highlight w:val="none"/>
        </w:rPr>
        <w:t>打造加深理论学习的第二课堂和强化社会实践的优秀平台。为规范</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default" w:ascii="Times New Roman" w:hAnsi="Times New Roman" w:cs="Times New Roman"/>
          <w:szCs w:val="21"/>
          <w:highlight w:val="none"/>
        </w:rPr>
        <w:t>管理，特制订本办法。</w:t>
      </w:r>
    </w:p>
    <w:p w14:paraId="2903AC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第二条</w:t>
      </w:r>
      <w:r>
        <w:rPr>
          <w:rFonts w:hint="eastAsia" w:ascii="宋体" w:hAnsi="宋体"/>
          <w:szCs w:val="21"/>
          <w:highlight w:val="none"/>
        </w:rPr>
        <w:t xml:space="preserve"> “环科赛”由清华大学、中国环境科学学会</w:t>
      </w:r>
      <w:r>
        <w:rPr>
          <w:rFonts w:hint="eastAsia" w:ascii="宋体" w:hAnsi="宋体"/>
          <w:szCs w:val="21"/>
          <w:highlight w:val="none"/>
          <w:lang w:eastAsia="zh-CN"/>
        </w:rPr>
        <w:t>、</w:t>
      </w:r>
      <w:r>
        <w:rPr>
          <w:rFonts w:hint="eastAsia" w:ascii="宋体" w:hAnsi="宋体"/>
          <w:szCs w:val="21"/>
          <w:highlight w:val="none"/>
        </w:rPr>
        <w:t>同济大学、西安建筑科技大学共同主办，可根据需要列入若干协办单位。</w:t>
      </w:r>
    </w:p>
    <w:p w14:paraId="287407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第三条</w:t>
      </w:r>
      <w:r>
        <w:rPr>
          <w:rFonts w:hint="eastAsia" w:ascii="宋体" w:hAnsi="宋体"/>
          <w:szCs w:val="21"/>
          <w:highlight w:val="none"/>
        </w:rPr>
        <w:t xml:space="preserve"> “环科赛”的组织机构包含执行委员会和组织委员会。“环科赛”具体举办形式与内容须遵守北京市和清华大学有关规定。</w:t>
      </w:r>
    </w:p>
    <w:p w14:paraId="2B30A3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第四条</w:t>
      </w:r>
      <w:r>
        <w:rPr>
          <w:rFonts w:hint="eastAsia" w:ascii="宋体" w:hAnsi="宋体"/>
          <w:szCs w:val="21"/>
          <w:highlight w:val="none"/>
        </w:rPr>
        <w:t xml:space="preserve"> “环科赛”每年举办</w:t>
      </w:r>
      <w:r>
        <w:rPr>
          <w:rFonts w:hint="eastAsia" w:ascii="宋体" w:hAnsi="宋体"/>
          <w:szCs w:val="21"/>
          <w:highlight w:val="none"/>
          <w:lang w:val="en-US" w:eastAsia="zh-CN"/>
        </w:rPr>
        <w:t>一</w:t>
      </w:r>
      <w:r>
        <w:rPr>
          <w:rFonts w:hint="eastAsia" w:ascii="宋体" w:hAnsi="宋体"/>
          <w:szCs w:val="21"/>
          <w:highlight w:val="none"/>
        </w:rPr>
        <w:t>届。</w:t>
      </w:r>
    </w:p>
    <w:p w14:paraId="368A35DB">
      <w:pPr>
        <w:spacing w:line="360" w:lineRule="auto"/>
        <w:jc w:val="center"/>
        <w:outlineLvl w:val="1"/>
        <w:rPr>
          <w:rFonts w:hint="eastAsia"/>
          <w:b/>
          <w:bCs/>
          <w:highlight w:val="none"/>
        </w:rPr>
      </w:pPr>
      <w:bookmarkStart w:id="6" w:name="_Toc17072"/>
      <w:r>
        <w:rPr>
          <w:rFonts w:hint="eastAsia"/>
          <w:b/>
          <w:bCs/>
          <w:highlight w:val="none"/>
        </w:rPr>
        <w:t xml:space="preserve">第二章 </w:t>
      </w:r>
      <w:r>
        <w:rPr>
          <w:rFonts w:hint="eastAsia"/>
          <w:b/>
          <w:bCs/>
          <w:highlight w:val="none"/>
          <w:lang w:val="en-US" w:eastAsia="zh-CN"/>
        </w:rPr>
        <w:t>竞赛</w:t>
      </w:r>
      <w:r>
        <w:rPr>
          <w:rFonts w:hint="eastAsia"/>
          <w:b/>
          <w:bCs/>
          <w:highlight w:val="none"/>
        </w:rPr>
        <w:t>组织架构</w:t>
      </w:r>
      <w:bookmarkEnd w:id="6"/>
    </w:p>
    <w:p w14:paraId="56F31F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u w:val="none"/>
        </w:rPr>
      </w:pPr>
      <w:r>
        <w:rPr>
          <w:rFonts w:hint="eastAsia" w:ascii="宋体" w:hAnsi="宋体"/>
          <w:b/>
          <w:bCs/>
          <w:szCs w:val="21"/>
          <w:highlight w:val="none"/>
        </w:rPr>
        <w:t>第五条</w:t>
      </w:r>
      <w:r>
        <w:rPr>
          <w:rFonts w:hint="eastAsia" w:ascii="宋体" w:hAnsi="宋体"/>
          <w:szCs w:val="21"/>
          <w:highlight w:val="none"/>
        </w:rPr>
        <w:t xml:space="preserve"> </w:t>
      </w:r>
      <w:r>
        <w:rPr>
          <w:rFonts w:hint="eastAsia" w:ascii="宋体" w:hAnsi="宋体"/>
          <w:szCs w:val="21"/>
          <w:highlight w:val="none"/>
          <w:u w:val="none"/>
        </w:rPr>
        <w:t>执行委员会由主办单位成员构成，主要负责统筹审议赛事相关文件、预决算表、奖项颁发、协办单位遴选、组织委员会人事任免等事务，管理并指导环科赛的筹备与举办工作。</w:t>
      </w:r>
      <w:r>
        <w:rPr>
          <w:rFonts w:hint="default" w:ascii="Times New Roman" w:hAnsi="Times New Roman" w:cs="Times New Roman"/>
          <w:szCs w:val="21"/>
          <w:highlight w:val="none"/>
          <w:u w:val="none"/>
        </w:rPr>
        <w:t>原则上每年召开至少</w:t>
      </w:r>
      <w:r>
        <w:rPr>
          <w:rFonts w:hint="default" w:ascii="Times New Roman" w:hAnsi="Times New Roman" w:cs="Times New Roman"/>
          <w:szCs w:val="21"/>
          <w:highlight w:val="none"/>
          <w:u w:val="none"/>
          <w:lang w:val="en-US" w:eastAsia="zh-CN"/>
        </w:rPr>
        <w:t>1</w:t>
      </w:r>
      <w:r>
        <w:rPr>
          <w:rFonts w:hint="default" w:ascii="Times New Roman" w:hAnsi="Times New Roman" w:cs="Times New Roman"/>
          <w:szCs w:val="21"/>
          <w:highlight w:val="none"/>
          <w:u w:val="none"/>
        </w:rPr>
        <w:t>次执行委员会会议。</w:t>
      </w:r>
    </w:p>
    <w:p w14:paraId="5B825D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u w:val="none"/>
        </w:rPr>
        <w:t>第六条</w:t>
      </w:r>
      <w:r>
        <w:rPr>
          <w:rFonts w:hint="eastAsia" w:ascii="宋体" w:hAnsi="宋体"/>
          <w:szCs w:val="21"/>
          <w:highlight w:val="none"/>
          <w:u w:val="none"/>
        </w:rPr>
        <w:t xml:space="preserve"> 组织委员会负责</w:t>
      </w:r>
      <w:r>
        <w:rPr>
          <w:rFonts w:hint="eastAsia" w:ascii="宋体" w:hAnsi="宋体"/>
          <w:szCs w:val="21"/>
          <w:highlight w:val="none"/>
          <w:u w:val="none"/>
          <w:lang w:val="en-US" w:eastAsia="zh-CN"/>
        </w:rPr>
        <w:t>具体</w:t>
      </w:r>
      <w:r>
        <w:rPr>
          <w:rFonts w:hint="eastAsia" w:ascii="宋体" w:hAnsi="宋体"/>
          <w:szCs w:val="21"/>
          <w:highlight w:val="none"/>
          <w:u w:val="none"/>
        </w:rPr>
        <w:t>组织“环科赛”</w:t>
      </w:r>
      <w:r>
        <w:rPr>
          <w:rFonts w:hint="eastAsia" w:ascii="宋体" w:hAnsi="宋体"/>
          <w:szCs w:val="21"/>
          <w:highlight w:val="none"/>
          <w:u w:val="none"/>
          <w:lang w:val="en-US" w:eastAsia="zh-CN"/>
        </w:rPr>
        <w:t>的各项具体</w:t>
      </w:r>
      <w:r>
        <w:rPr>
          <w:rFonts w:hint="eastAsia" w:ascii="宋体" w:hAnsi="宋体"/>
          <w:szCs w:val="21"/>
          <w:highlight w:val="none"/>
          <w:u w:val="none"/>
        </w:rPr>
        <w:t>工作，设主任、副主任及学生负责人等岗位，</w:t>
      </w:r>
      <w:r>
        <w:rPr>
          <w:rFonts w:hint="default" w:ascii="Times New Roman" w:hAnsi="Times New Roman" w:cs="Times New Roman"/>
          <w:szCs w:val="21"/>
          <w:highlight w:val="none"/>
          <w:u w:val="none"/>
        </w:rPr>
        <w:t>必要时可设</w:t>
      </w:r>
      <w:r>
        <w:rPr>
          <w:rFonts w:hint="default" w:ascii="Times New Roman" w:hAnsi="Times New Roman" w:cs="Times New Roman"/>
          <w:szCs w:val="21"/>
          <w:highlight w:val="none"/>
          <w:u w:val="none"/>
          <w:lang w:val="en-US" w:eastAsia="zh-CN"/>
        </w:rPr>
        <w:t>1</w:t>
      </w:r>
      <w:r>
        <w:rPr>
          <w:rFonts w:hint="default" w:ascii="Times New Roman" w:hAnsi="Times New Roman" w:cs="Times New Roman"/>
          <w:szCs w:val="21"/>
          <w:highlight w:val="none"/>
          <w:u w:val="none"/>
        </w:rPr>
        <w:t>名常务副主任</w:t>
      </w:r>
      <w:r>
        <w:rPr>
          <w:rFonts w:hint="eastAsia" w:ascii="宋体" w:hAnsi="宋体"/>
          <w:szCs w:val="21"/>
          <w:highlight w:val="none"/>
          <w:u w:val="none"/>
        </w:rPr>
        <w:t>。</w:t>
      </w:r>
    </w:p>
    <w:p w14:paraId="5A0947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szCs w:val="21"/>
          <w:highlight w:val="none"/>
          <w:lang w:eastAsia="zh-CN"/>
        </w:rPr>
      </w:pPr>
      <w:r>
        <w:rPr>
          <w:rFonts w:hint="eastAsia" w:ascii="宋体" w:hAnsi="宋体"/>
          <w:b/>
          <w:bCs/>
          <w:szCs w:val="21"/>
          <w:highlight w:val="none"/>
        </w:rPr>
        <w:t>第七条</w:t>
      </w:r>
      <w:r>
        <w:rPr>
          <w:rFonts w:hint="eastAsia" w:ascii="宋体" w:hAnsi="宋体"/>
          <w:szCs w:val="21"/>
          <w:highlight w:val="none"/>
        </w:rPr>
        <w:t xml:space="preserve"> </w:t>
      </w:r>
      <w:r>
        <w:rPr>
          <w:rFonts w:hint="eastAsia" w:ascii="宋体" w:hAnsi="宋体"/>
          <w:szCs w:val="21"/>
          <w:highlight w:val="none"/>
          <w:lang w:val="en-US" w:eastAsia="zh-CN"/>
        </w:rPr>
        <w:t>执委会</w:t>
      </w:r>
      <w:r>
        <w:rPr>
          <w:rFonts w:hint="eastAsia" w:ascii="宋体" w:hAnsi="宋体"/>
          <w:szCs w:val="21"/>
          <w:highlight w:val="none"/>
        </w:rPr>
        <w:t>主任由清华大学环境学院</w:t>
      </w:r>
      <w:r>
        <w:rPr>
          <w:rFonts w:hint="eastAsia" w:ascii="宋体" w:hAnsi="宋体"/>
          <w:szCs w:val="21"/>
          <w:highlight w:val="none"/>
          <w:lang w:val="en-US" w:eastAsia="zh-CN"/>
        </w:rPr>
        <w:t>院长</w:t>
      </w:r>
      <w:r>
        <w:rPr>
          <w:rFonts w:hint="eastAsia" w:ascii="宋体" w:hAnsi="宋体"/>
          <w:szCs w:val="21"/>
          <w:highlight w:val="none"/>
        </w:rPr>
        <w:t>兼任</w:t>
      </w:r>
      <w:r>
        <w:rPr>
          <w:rFonts w:hint="eastAsia" w:ascii="宋体" w:hAnsi="宋体"/>
          <w:szCs w:val="21"/>
          <w:highlight w:val="none"/>
          <w:lang w:eastAsia="zh-CN"/>
        </w:rPr>
        <w:t>，</w:t>
      </w:r>
      <w:r>
        <w:rPr>
          <w:rFonts w:hint="eastAsia" w:ascii="宋体" w:hAnsi="宋体"/>
          <w:szCs w:val="21"/>
          <w:highlight w:val="none"/>
        </w:rPr>
        <w:t>副主任</w:t>
      </w:r>
      <w:r>
        <w:rPr>
          <w:rFonts w:hint="eastAsia" w:ascii="宋体" w:hAnsi="宋体"/>
          <w:szCs w:val="21"/>
          <w:highlight w:val="none"/>
          <w:lang w:val="en-US" w:eastAsia="zh-CN"/>
        </w:rPr>
        <w:t>和委员</w:t>
      </w:r>
      <w:r>
        <w:rPr>
          <w:rFonts w:hint="eastAsia" w:ascii="宋体" w:hAnsi="宋体"/>
          <w:szCs w:val="21"/>
          <w:highlight w:val="none"/>
        </w:rPr>
        <w:t>由清华大学环境学院</w:t>
      </w:r>
      <w:r>
        <w:rPr>
          <w:rFonts w:hint="eastAsia" w:ascii="宋体" w:hAnsi="宋体"/>
          <w:szCs w:val="21"/>
          <w:highlight w:val="none"/>
          <w:lang w:eastAsia="zh-CN"/>
        </w:rPr>
        <w:t>、</w:t>
      </w:r>
      <w:r>
        <w:rPr>
          <w:rFonts w:hint="eastAsia" w:ascii="宋体" w:hAnsi="宋体"/>
          <w:szCs w:val="21"/>
          <w:highlight w:val="none"/>
        </w:rPr>
        <w:t>同济大学环境科学与工程学院、西安建筑科技大学环境与市政工程学院</w:t>
      </w:r>
      <w:r>
        <w:rPr>
          <w:rFonts w:hint="eastAsia" w:ascii="宋体" w:hAnsi="宋体"/>
          <w:szCs w:val="21"/>
          <w:highlight w:val="none"/>
          <w:lang w:val="en-US" w:eastAsia="zh-CN"/>
        </w:rPr>
        <w:t>相关领导及教师</w:t>
      </w:r>
      <w:r>
        <w:rPr>
          <w:rFonts w:hint="eastAsia" w:ascii="宋体" w:hAnsi="宋体"/>
          <w:szCs w:val="21"/>
          <w:highlight w:val="none"/>
        </w:rPr>
        <w:t>兼任</w:t>
      </w:r>
      <w:r>
        <w:rPr>
          <w:rFonts w:hint="eastAsia" w:ascii="宋体" w:hAnsi="宋体"/>
          <w:szCs w:val="21"/>
          <w:highlight w:val="none"/>
          <w:lang w:eastAsia="zh-CN"/>
        </w:rPr>
        <w:t>。</w:t>
      </w:r>
    </w:p>
    <w:p w14:paraId="2E14F5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第八条</w:t>
      </w:r>
      <w:r>
        <w:rPr>
          <w:rFonts w:hint="eastAsia" w:ascii="宋体" w:hAnsi="宋体"/>
          <w:b/>
          <w:bCs/>
          <w:szCs w:val="21"/>
          <w:highlight w:val="none"/>
          <w:lang w:val="en-US" w:eastAsia="zh-CN"/>
        </w:rPr>
        <w:t xml:space="preserve"> </w:t>
      </w:r>
      <w:r>
        <w:rPr>
          <w:rFonts w:hint="eastAsia" w:ascii="宋体" w:hAnsi="宋体"/>
          <w:szCs w:val="21"/>
          <w:highlight w:val="none"/>
        </w:rPr>
        <w:t>组织委员会主任、常务副主任由清华大学环境学院教师兼任，副主任由同济大学环境科学与工程学院、西安建筑科技大学环境与市政工程学院教师兼任。组织委员会主任、常务副主任、副主任由执行委员会任命。</w:t>
      </w:r>
    </w:p>
    <w:p w14:paraId="34F683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Cs w:val="21"/>
          <w:highlight w:val="none"/>
        </w:rPr>
      </w:pPr>
      <w:r>
        <w:rPr>
          <w:rFonts w:hint="eastAsia" w:ascii="宋体" w:hAnsi="宋体"/>
          <w:b/>
          <w:bCs/>
          <w:szCs w:val="21"/>
          <w:highlight w:val="none"/>
        </w:rPr>
        <w:t>第</w:t>
      </w:r>
      <w:r>
        <w:rPr>
          <w:rFonts w:hint="eastAsia" w:ascii="宋体" w:hAnsi="宋体"/>
          <w:b/>
          <w:bCs/>
          <w:szCs w:val="21"/>
          <w:highlight w:val="none"/>
          <w:lang w:val="en-US" w:eastAsia="zh-CN"/>
        </w:rPr>
        <w:t>九</w:t>
      </w:r>
      <w:r>
        <w:rPr>
          <w:rFonts w:hint="eastAsia" w:ascii="宋体" w:hAnsi="宋体"/>
          <w:b/>
          <w:bCs/>
          <w:szCs w:val="21"/>
          <w:highlight w:val="none"/>
        </w:rPr>
        <w:t>条</w:t>
      </w:r>
      <w:r>
        <w:rPr>
          <w:rFonts w:hint="eastAsia" w:ascii="宋体" w:hAnsi="宋体"/>
          <w:szCs w:val="21"/>
          <w:highlight w:val="none"/>
        </w:rPr>
        <w:t xml:space="preserve"> </w:t>
      </w:r>
      <w:r>
        <w:rPr>
          <w:rFonts w:hint="default" w:ascii="Times New Roman" w:hAnsi="Times New Roman" w:cs="Times New Roman"/>
          <w:szCs w:val="21"/>
          <w:highlight w:val="none"/>
        </w:rPr>
        <w:t>组织委员会学生负责人从研究生中择优聘用，一般设置1名，负责协助主任、副主任开展具体的组织与实施工作。组织委员会学生负责人由组织委员会主任选拔，经执行委员会审核同意后聘任。组织委员会成员从研究生或本科生中择优聘用，经组织委员会主任审议通过后聘任。</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default" w:ascii="Times New Roman" w:hAnsi="Times New Roman" w:cs="Times New Roman"/>
          <w:szCs w:val="21"/>
          <w:highlight w:val="none"/>
        </w:rPr>
        <w:t>按实际需要招募一定数量的志愿者。</w:t>
      </w:r>
    </w:p>
    <w:p w14:paraId="693E1C73">
      <w:pPr>
        <w:spacing w:line="360" w:lineRule="auto"/>
        <w:jc w:val="center"/>
        <w:outlineLvl w:val="1"/>
        <w:rPr>
          <w:rFonts w:hint="eastAsia"/>
          <w:b/>
          <w:bCs/>
          <w:highlight w:val="none"/>
        </w:rPr>
      </w:pPr>
      <w:bookmarkStart w:id="7" w:name="_Toc23008"/>
      <w:r>
        <w:rPr>
          <w:rFonts w:hint="eastAsia"/>
          <w:b/>
          <w:bCs/>
          <w:highlight w:val="none"/>
        </w:rPr>
        <w:t>第三章 竞赛筹备与举办</w:t>
      </w:r>
      <w:bookmarkEnd w:id="7"/>
    </w:p>
    <w:p w14:paraId="74C300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w:t>
      </w:r>
      <w:r>
        <w:rPr>
          <w:rFonts w:hint="eastAsia" w:cs="Times New Roman"/>
          <w:b/>
          <w:bCs/>
          <w:szCs w:val="21"/>
          <w:highlight w:val="none"/>
          <w:lang w:val="en-US" w:eastAsia="zh-CN"/>
        </w:rPr>
        <w:t>十</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“环科赛”组织委员会于每年3月</w:t>
      </w:r>
      <w:r>
        <w:rPr>
          <w:rFonts w:hint="eastAsia" w:cs="Times New Roman"/>
          <w:szCs w:val="21"/>
          <w:highlight w:val="none"/>
          <w:lang w:val="en-US" w:eastAsia="zh-CN"/>
        </w:rPr>
        <w:t>底</w:t>
      </w:r>
      <w:r>
        <w:rPr>
          <w:rFonts w:hint="eastAsia" w:ascii="Times New Roman" w:hAnsi="Times New Roman" w:cs="Times New Roman"/>
          <w:szCs w:val="21"/>
          <w:highlight w:val="none"/>
        </w:rPr>
        <w:t>前完成组建。组织委员会原则上每月至少召开1次例会</w:t>
      </w:r>
      <w:r>
        <w:rPr>
          <w:rFonts w:hint="eastAsia" w:cs="Times New Roman"/>
          <w:szCs w:val="21"/>
          <w:highlight w:val="none"/>
          <w:lang w:eastAsia="zh-CN"/>
        </w:rPr>
        <w:t>，</w:t>
      </w:r>
      <w:r>
        <w:rPr>
          <w:rFonts w:hint="eastAsia" w:cs="Times New Roman"/>
          <w:szCs w:val="21"/>
          <w:highlight w:val="none"/>
          <w:lang w:val="en-US" w:eastAsia="zh-CN"/>
        </w:rPr>
        <w:t>可根据当月工作内容进行适当调整</w:t>
      </w:r>
      <w:r>
        <w:rPr>
          <w:rFonts w:hint="eastAsia" w:ascii="Times New Roman" w:hAnsi="Times New Roman" w:cs="Times New Roman"/>
          <w:szCs w:val="21"/>
          <w:highlight w:val="none"/>
        </w:rPr>
        <w:t>。组织委员会形成的</w:t>
      </w:r>
      <w:r>
        <w:rPr>
          <w:rFonts w:hint="eastAsia" w:cs="Times New Roman"/>
          <w:szCs w:val="21"/>
          <w:highlight w:val="none"/>
          <w:lang w:val="en-US" w:eastAsia="zh-CN"/>
        </w:rPr>
        <w:t>决议与</w:t>
      </w:r>
      <w:r>
        <w:rPr>
          <w:rFonts w:hint="eastAsia" w:ascii="Times New Roman" w:hAnsi="Times New Roman" w:cs="Times New Roman"/>
          <w:szCs w:val="21"/>
          <w:highlight w:val="none"/>
        </w:rPr>
        <w:t>意见，须经全体成员半数以上及组织委员会主任同意</w:t>
      </w:r>
      <w:r>
        <w:rPr>
          <w:rFonts w:hint="eastAsia" w:cs="Times New Roman"/>
          <w:szCs w:val="21"/>
          <w:highlight w:val="none"/>
          <w:lang w:eastAsia="zh-CN"/>
        </w:rPr>
        <w:t>，</w:t>
      </w:r>
      <w:r>
        <w:rPr>
          <w:rFonts w:hint="eastAsia" w:cs="Times New Roman"/>
          <w:szCs w:val="21"/>
          <w:highlight w:val="none"/>
          <w:lang w:val="en-US" w:eastAsia="zh-CN"/>
        </w:rPr>
        <w:t>才可生效实行</w:t>
      </w:r>
      <w:r>
        <w:rPr>
          <w:rFonts w:hint="eastAsia" w:ascii="Times New Roman" w:hAnsi="Times New Roman" w:cs="Times New Roman"/>
          <w:szCs w:val="21"/>
          <w:highlight w:val="none"/>
        </w:rPr>
        <w:t>。组织委员会会议议定的重要事项</w:t>
      </w:r>
      <w:r>
        <w:rPr>
          <w:rFonts w:hint="eastAsia" w:cs="Times New Roman"/>
          <w:szCs w:val="21"/>
          <w:highlight w:val="none"/>
          <w:lang w:val="en-US" w:eastAsia="zh-CN"/>
        </w:rPr>
        <w:t>原则上需</w:t>
      </w:r>
      <w:r>
        <w:rPr>
          <w:rFonts w:hint="eastAsia" w:ascii="Times New Roman" w:hAnsi="Times New Roman" w:cs="Times New Roman"/>
          <w:szCs w:val="21"/>
          <w:highlight w:val="none"/>
        </w:rPr>
        <w:t>形成会议纪要。</w:t>
      </w:r>
    </w:p>
    <w:p w14:paraId="03796E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一</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“环科赛”须建立专业、公平的评价体系与评奖机制，评价体系与奖项设置（含赛区奖）须经执行委员会审议通过后实施。 </w:t>
      </w:r>
    </w:p>
    <w:p w14:paraId="4855EB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二</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w:t>
      </w:r>
      <w:r>
        <w:rPr>
          <w:rFonts w:hint="eastAsia" w:cs="Times New Roman"/>
          <w:szCs w:val="21"/>
          <w:highlight w:val="none"/>
          <w:lang w:val="en-US" w:eastAsia="zh-CN"/>
        </w:rPr>
        <w:t>于终审答辩环节</w:t>
      </w:r>
      <w:r>
        <w:rPr>
          <w:rFonts w:hint="eastAsia" w:ascii="Times New Roman" w:hAnsi="Times New Roman" w:cs="Times New Roman"/>
          <w:szCs w:val="21"/>
          <w:highlight w:val="none"/>
        </w:rPr>
        <w:t>设立</w:t>
      </w:r>
      <w:r>
        <w:rPr>
          <w:rFonts w:hint="eastAsia" w:cs="Times New Roman"/>
          <w:szCs w:val="21"/>
          <w:highlight w:val="none"/>
          <w:lang w:val="en-US" w:eastAsia="zh-CN"/>
        </w:rPr>
        <w:t>特</w:t>
      </w:r>
      <w:r>
        <w:rPr>
          <w:rFonts w:hint="eastAsia" w:ascii="Times New Roman" w:hAnsi="Times New Roman" w:cs="Times New Roman"/>
          <w:szCs w:val="21"/>
          <w:highlight w:val="none"/>
        </w:rPr>
        <w:t>等奖、</w:t>
      </w:r>
      <w:r>
        <w:rPr>
          <w:rFonts w:hint="eastAsia" w:cs="Times New Roman"/>
          <w:szCs w:val="21"/>
          <w:highlight w:val="none"/>
          <w:lang w:val="en-US" w:eastAsia="zh-CN"/>
        </w:rPr>
        <w:t>一</w:t>
      </w:r>
      <w:r>
        <w:rPr>
          <w:rFonts w:hint="eastAsia" w:ascii="Times New Roman" w:hAnsi="Times New Roman" w:cs="Times New Roman"/>
          <w:szCs w:val="21"/>
          <w:highlight w:val="none"/>
        </w:rPr>
        <w:t>等奖、</w:t>
      </w:r>
      <w:r>
        <w:rPr>
          <w:rFonts w:hint="eastAsia" w:cs="Times New Roman"/>
          <w:szCs w:val="21"/>
          <w:highlight w:val="none"/>
          <w:lang w:val="en-US" w:eastAsia="zh-CN"/>
        </w:rPr>
        <w:t>二</w:t>
      </w:r>
      <w:r>
        <w:rPr>
          <w:rFonts w:hint="eastAsia" w:ascii="Times New Roman" w:hAnsi="Times New Roman" w:cs="Times New Roman"/>
          <w:szCs w:val="21"/>
          <w:highlight w:val="none"/>
        </w:rPr>
        <w:t>等奖</w:t>
      </w:r>
      <w:r>
        <w:rPr>
          <w:rFonts w:hint="eastAsia" w:cs="Times New Roman"/>
          <w:szCs w:val="21"/>
          <w:highlight w:val="none"/>
          <w:lang w:val="en-US" w:eastAsia="zh-CN"/>
        </w:rPr>
        <w:t>和三等奖</w:t>
      </w:r>
      <w:r>
        <w:rPr>
          <w:rFonts w:hint="eastAsia" w:ascii="Times New Roman" w:hAnsi="Times New Roman" w:cs="Times New Roman"/>
          <w:szCs w:val="21"/>
          <w:highlight w:val="none"/>
        </w:rPr>
        <w:t>四个等级的奖项。</w:t>
      </w:r>
      <w:r>
        <w:rPr>
          <w:rFonts w:hint="eastAsia" w:cs="Times New Roman"/>
          <w:szCs w:val="21"/>
          <w:highlight w:val="none"/>
          <w:lang w:val="en-US" w:eastAsia="zh-CN"/>
        </w:rPr>
        <w:t>同时，</w:t>
      </w:r>
      <w:r>
        <w:rPr>
          <w:rFonts w:hint="eastAsia" w:ascii="Times New Roman" w:hAnsi="Times New Roman" w:cs="Times New Roman"/>
          <w:szCs w:val="21"/>
          <w:highlight w:val="none"/>
        </w:rPr>
        <w:t>“环科赛”</w:t>
      </w:r>
      <w:r>
        <w:rPr>
          <w:rFonts w:hint="eastAsia" w:cs="Times New Roman"/>
          <w:szCs w:val="21"/>
          <w:highlight w:val="none"/>
          <w:lang w:val="en-US" w:eastAsia="zh-CN"/>
        </w:rPr>
        <w:t>于作品函评环节设立</w:t>
      </w:r>
      <w:r>
        <w:rPr>
          <w:rFonts w:hint="eastAsia" w:ascii="Times New Roman" w:hAnsi="Times New Roman" w:cs="Times New Roman"/>
          <w:szCs w:val="21"/>
          <w:highlight w:val="none"/>
        </w:rPr>
        <w:t>赛区一、二、三等奖。</w:t>
      </w:r>
    </w:p>
    <w:p w14:paraId="588BD5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Times New Roman"/>
          <w:szCs w:val="21"/>
          <w:highlight w:val="none"/>
          <w:lang w:val="en-US" w:eastAsia="zh-CN"/>
        </w:rPr>
      </w:pPr>
      <w:r>
        <w:rPr>
          <w:rFonts w:hint="eastAsia" w:cs="Times New Roman"/>
          <w:b/>
          <w:bCs/>
          <w:szCs w:val="21"/>
          <w:highlight w:val="none"/>
          <w:lang w:val="en-US" w:eastAsia="zh-CN"/>
        </w:rPr>
        <w:t>第十三条</w:t>
      </w:r>
      <w:r>
        <w:rPr>
          <w:rFonts w:hint="eastAsia" w:cs="Times New Roman"/>
          <w:szCs w:val="21"/>
          <w:highlight w:val="none"/>
          <w:lang w:val="en-US" w:eastAsia="zh-CN"/>
        </w:rPr>
        <w:t xml:space="preserve"> “环科赛”参赛作品包含科技理念类、科技实物类和绿色创业类三类作品，三类作品独立进行提交、评审和颁奖。</w:t>
      </w:r>
    </w:p>
    <w:p w14:paraId="3BEB91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s="Times New Roman"/>
          <w:szCs w:val="21"/>
          <w:highlight w:val="none"/>
          <w:lang w:val="en-US" w:eastAsia="zh-CN"/>
        </w:rPr>
      </w:pPr>
      <w:r>
        <w:rPr>
          <w:rFonts w:hint="eastAsia" w:cs="Times New Roman"/>
          <w:b/>
          <w:bCs/>
          <w:szCs w:val="21"/>
          <w:highlight w:val="none"/>
          <w:lang w:val="en-US" w:eastAsia="zh-CN"/>
        </w:rPr>
        <w:t>第十四条</w:t>
      </w:r>
      <w:r>
        <w:rPr>
          <w:rFonts w:hint="eastAsia" w:cs="Times New Roman"/>
          <w:szCs w:val="21"/>
          <w:highlight w:val="none"/>
          <w:lang w:val="en-US" w:eastAsia="zh-CN"/>
        </w:rPr>
        <w:t xml:space="preserve"> “环科赛”禁止同一作品在同一届赛事以不同成员姓名进行多次提交。“环科赛”原则上不鼓励同一作品在同一届赛事报名多个赛道，若需报名，需确保各赛道间提交的作品材料重复率不高于30%（含文字、图表等）。对连续参与竞赛的往届参赛作品，需在相关资料中补充提交往届作品参赛资格审查表（附件8），如未填写报名参赛，一经举报核实后，取消参赛和获奖资格。</w:t>
      </w:r>
    </w:p>
    <w:p w14:paraId="313BA6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五</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“环科赛”采取分类、分级评审。评委分别依据相应类别作品的评审规则开展评审评奖工作。科技理念类、科技实物类</w:t>
      </w:r>
      <w:r>
        <w:rPr>
          <w:rFonts w:hint="eastAsia" w:cs="Times New Roman"/>
          <w:szCs w:val="21"/>
          <w:highlight w:val="none"/>
          <w:lang w:val="en-US" w:eastAsia="zh-CN"/>
        </w:rPr>
        <w:t>和</w:t>
      </w:r>
      <w:r>
        <w:rPr>
          <w:rFonts w:hint="eastAsia" w:ascii="Times New Roman" w:hAnsi="Times New Roman" w:cs="Times New Roman"/>
          <w:szCs w:val="21"/>
          <w:highlight w:val="none"/>
        </w:rPr>
        <w:t>绿色创业类作品评审包括线上</w:t>
      </w:r>
      <w:r>
        <w:rPr>
          <w:rFonts w:hint="eastAsia" w:cs="Times New Roman"/>
          <w:szCs w:val="21"/>
          <w:highlight w:val="none"/>
          <w:lang w:val="en-US" w:eastAsia="zh-CN"/>
        </w:rPr>
        <w:t>两轮</w:t>
      </w:r>
      <w:r>
        <w:rPr>
          <w:rFonts w:hint="eastAsia" w:ascii="Times New Roman" w:hAnsi="Times New Roman" w:cs="Times New Roman"/>
          <w:szCs w:val="21"/>
          <w:highlight w:val="none"/>
        </w:rPr>
        <w:t>函评</w:t>
      </w:r>
      <w:r>
        <w:rPr>
          <w:rFonts w:hint="eastAsia" w:cs="Times New Roman"/>
          <w:szCs w:val="21"/>
          <w:highlight w:val="none"/>
          <w:lang w:val="en-US" w:eastAsia="zh-CN"/>
        </w:rPr>
        <w:t>和</w:t>
      </w:r>
      <w:r>
        <w:rPr>
          <w:rFonts w:hint="eastAsia" w:ascii="Times New Roman" w:hAnsi="Times New Roman" w:cs="Times New Roman"/>
          <w:szCs w:val="21"/>
          <w:highlight w:val="none"/>
        </w:rPr>
        <w:t>线下</w:t>
      </w:r>
      <w:r>
        <w:rPr>
          <w:rFonts w:hint="eastAsia" w:cs="Times New Roman"/>
          <w:szCs w:val="21"/>
          <w:highlight w:val="none"/>
          <w:lang w:val="en-US" w:eastAsia="zh-CN"/>
        </w:rPr>
        <w:t>终审答辩</w:t>
      </w:r>
      <w:r>
        <w:rPr>
          <w:rFonts w:hint="eastAsia" w:cs="Times New Roman"/>
          <w:szCs w:val="21"/>
          <w:highlight w:val="none"/>
          <w:lang w:eastAsia="zh-CN"/>
        </w:rPr>
        <w:t>，</w:t>
      </w:r>
      <w:r>
        <w:rPr>
          <w:rFonts w:hint="eastAsia" w:cs="Times New Roman"/>
          <w:szCs w:val="21"/>
          <w:highlight w:val="none"/>
          <w:lang w:val="en-US" w:eastAsia="zh-CN"/>
        </w:rPr>
        <w:t>进而</w:t>
      </w:r>
      <w:r>
        <w:rPr>
          <w:rFonts w:hint="eastAsia" w:ascii="Times New Roman" w:hAnsi="Times New Roman" w:cs="Times New Roman"/>
          <w:szCs w:val="21"/>
          <w:highlight w:val="none"/>
        </w:rPr>
        <w:t>最终确定奖项。</w:t>
      </w:r>
    </w:p>
    <w:p w14:paraId="122BFB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六</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“环科赛”获奖名单须</w:t>
      </w:r>
      <w:r>
        <w:rPr>
          <w:rFonts w:hint="eastAsia" w:cs="Times New Roman"/>
          <w:szCs w:val="21"/>
          <w:highlight w:val="none"/>
          <w:lang w:val="en-US" w:eastAsia="zh-CN"/>
        </w:rPr>
        <w:t>至少</w:t>
      </w:r>
      <w:r>
        <w:rPr>
          <w:rFonts w:hint="eastAsia" w:ascii="Times New Roman" w:hAnsi="Times New Roman" w:cs="Times New Roman"/>
          <w:szCs w:val="21"/>
          <w:highlight w:val="none"/>
        </w:rPr>
        <w:t>公示</w:t>
      </w:r>
      <w:r>
        <w:rPr>
          <w:rFonts w:hint="eastAsia" w:cs="Times New Roman"/>
          <w:szCs w:val="21"/>
          <w:highlight w:val="none"/>
          <w:lang w:val="en-US" w:eastAsia="zh-CN"/>
        </w:rPr>
        <w:t>5个工作日</w:t>
      </w:r>
      <w:r>
        <w:rPr>
          <w:rFonts w:hint="eastAsia" w:ascii="Times New Roman" w:hAnsi="Times New Roman" w:cs="Times New Roman"/>
          <w:szCs w:val="21"/>
          <w:highlight w:val="none"/>
        </w:rPr>
        <w:t>。若收到投诉，将由组织委员会依照赛事手册相关细则进行处理。确认存在不符合赛事手册规定，如存在抄袭、以毕设作为作品提交</w:t>
      </w:r>
      <w:r>
        <w:rPr>
          <w:rFonts w:hint="eastAsia" w:cs="Times New Roman"/>
          <w:szCs w:val="21"/>
          <w:highlight w:val="none"/>
          <w:lang w:val="en-US" w:eastAsia="zh-CN"/>
        </w:rPr>
        <w:t>或违反第十三条、第十四条规定</w:t>
      </w:r>
      <w:r>
        <w:rPr>
          <w:rFonts w:hint="eastAsia" w:ascii="Times New Roman" w:hAnsi="Times New Roman" w:cs="Times New Roman"/>
          <w:szCs w:val="21"/>
          <w:highlight w:val="none"/>
        </w:rPr>
        <w:t>等行为的，由组织委员会取消其</w:t>
      </w:r>
      <w:r>
        <w:rPr>
          <w:rFonts w:hint="eastAsia" w:cs="Times New Roman"/>
          <w:szCs w:val="21"/>
          <w:highlight w:val="none"/>
          <w:lang w:val="en-US" w:eastAsia="zh-CN"/>
        </w:rPr>
        <w:t>参赛及</w:t>
      </w:r>
      <w:r>
        <w:rPr>
          <w:rFonts w:hint="eastAsia" w:ascii="Times New Roman" w:hAnsi="Times New Roman" w:cs="Times New Roman"/>
          <w:szCs w:val="21"/>
          <w:highlight w:val="none"/>
        </w:rPr>
        <w:t>获奖资格</w:t>
      </w:r>
      <w:r>
        <w:rPr>
          <w:rFonts w:hint="eastAsia" w:cs="Times New Roman"/>
          <w:szCs w:val="21"/>
          <w:highlight w:val="none"/>
          <w:lang w:eastAsia="zh-CN"/>
        </w:rPr>
        <w:t>，</w:t>
      </w:r>
      <w:r>
        <w:rPr>
          <w:rFonts w:hint="eastAsia" w:cs="Times New Roman"/>
          <w:szCs w:val="21"/>
          <w:highlight w:val="none"/>
          <w:lang w:val="en-US" w:eastAsia="zh-CN"/>
        </w:rPr>
        <w:t>并视情况进行通报</w:t>
      </w:r>
      <w:r>
        <w:rPr>
          <w:rFonts w:hint="eastAsia" w:ascii="Times New Roman" w:hAnsi="Times New Roman" w:cs="Times New Roman"/>
          <w:szCs w:val="21"/>
          <w:highlight w:val="none"/>
        </w:rPr>
        <w:t>。</w:t>
      </w:r>
    </w:p>
    <w:p w14:paraId="0ADE06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七</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“环科赛”面向国内各高校发布举办通知和作品</w:t>
      </w:r>
      <w:r>
        <w:rPr>
          <w:rFonts w:hint="eastAsia" w:cs="Times New Roman"/>
          <w:szCs w:val="21"/>
          <w:highlight w:val="none"/>
          <w:lang w:val="en-US" w:eastAsia="zh-CN"/>
        </w:rPr>
        <w:t>征集</w:t>
      </w:r>
      <w:r>
        <w:rPr>
          <w:rFonts w:hint="eastAsia" w:ascii="Times New Roman" w:hAnsi="Times New Roman" w:cs="Times New Roman"/>
          <w:szCs w:val="21"/>
          <w:highlight w:val="none"/>
        </w:rPr>
        <w:t>通知，</w:t>
      </w:r>
      <w:r>
        <w:rPr>
          <w:rFonts w:hint="eastAsia" w:cs="Times New Roman"/>
          <w:szCs w:val="21"/>
          <w:highlight w:val="none"/>
          <w:lang w:val="en-US" w:eastAsia="zh-CN"/>
        </w:rPr>
        <w:t>并</w:t>
      </w:r>
      <w:r>
        <w:rPr>
          <w:rFonts w:hint="eastAsia" w:ascii="Times New Roman" w:hAnsi="Times New Roman" w:cs="Times New Roman"/>
          <w:szCs w:val="21"/>
          <w:highlight w:val="none"/>
        </w:rPr>
        <w:t>在线上与线下多平台</w:t>
      </w:r>
      <w:r>
        <w:rPr>
          <w:rFonts w:hint="eastAsia" w:cs="Times New Roman"/>
          <w:szCs w:val="21"/>
          <w:highlight w:val="none"/>
          <w:lang w:val="en-US" w:eastAsia="zh-CN"/>
        </w:rPr>
        <w:t>联合</w:t>
      </w:r>
      <w:r>
        <w:rPr>
          <w:rFonts w:hint="eastAsia" w:ascii="Times New Roman" w:hAnsi="Times New Roman" w:cs="Times New Roman"/>
          <w:szCs w:val="21"/>
          <w:highlight w:val="none"/>
        </w:rPr>
        <w:t>宣传</w:t>
      </w:r>
      <w:r>
        <w:rPr>
          <w:rFonts w:hint="eastAsia" w:cs="Times New Roman"/>
          <w:szCs w:val="21"/>
          <w:highlight w:val="none"/>
          <w:lang w:eastAsia="zh-CN"/>
        </w:rPr>
        <w:t>，</w:t>
      </w:r>
      <w:r>
        <w:rPr>
          <w:rFonts w:hint="eastAsia" w:cs="Times New Roman"/>
          <w:szCs w:val="21"/>
          <w:highlight w:val="none"/>
          <w:lang w:val="en-US" w:eastAsia="zh-CN"/>
        </w:rPr>
        <w:t>如</w:t>
      </w:r>
      <w:r>
        <w:rPr>
          <w:rFonts w:hint="eastAsia" w:ascii="Times New Roman" w:hAnsi="Times New Roman" w:cs="Times New Roman"/>
          <w:szCs w:val="21"/>
          <w:highlight w:val="none"/>
        </w:rPr>
        <w:t>利用“环科赛”官方公众号以及学院、学校和环境学科相关高影响力宣传平台</w:t>
      </w:r>
      <w:r>
        <w:rPr>
          <w:rFonts w:hint="eastAsia" w:cs="Times New Roman"/>
          <w:szCs w:val="21"/>
          <w:highlight w:val="none"/>
          <w:lang w:val="en-US" w:eastAsia="zh-CN"/>
        </w:rPr>
        <w:t>从而持续</w:t>
      </w:r>
      <w:r>
        <w:rPr>
          <w:rFonts w:hint="eastAsia" w:ascii="Times New Roman" w:hAnsi="Times New Roman" w:cs="Times New Roman"/>
          <w:szCs w:val="21"/>
          <w:highlight w:val="none"/>
        </w:rPr>
        <w:t>扩大竞赛影响力</w:t>
      </w:r>
      <w:r>
        <w:rPr>
          <w:rFonts w:hint="eastAsia" w:cs="Times New Roman"/>
          <w:szCs w:val="21"/>
          <w:highlight w:val="none"/>
          <w:lang w:val="en-US" w:eastAsia="zh-CN"/>
        </w:rPr>
        <w:t>等</w:t>
      </w:r>
      <w:r>
        <w:rPr>
          <w:rFonts w:hint="eastAsia" w:ascii="Times New Roman" w:hAnsi="Times New Roman" w:cs="Times New Roman"/>
          <w:szCs w:val="21"/>
          <w:highlight w:val="none"/>
        </w:rPr>
        <w:t>。</w:t>
      </w:r>
    </w:p>
    <w:p w14:paraId="4EBAC0F5">
      <w:pPr>
        <w:spacing w:line="360" w:lineRule="auto"/>
        <w:jc w:val="center"/>
        <w:outlineLvl w:val="1"/>
        <w:rPr>
          <w:rFonts w:hint="eastAsia"/>
          <w:b/>
          <w:bCs/>
          <w:highlight w:val="none"/>
        </w:rPr>
      </w:pPr>
      <w:bookmarkStart w:id="8" w:name="_Toc16058"/>
      <w:r>
        <w:rPr>
          <w:rFonts w:hint="eastAsia"/>
          <w:b/>
          <w:bCs/>
          <w:highlight w:val="none"/>
        </w:rPr>
        <w:t xml:space="preserve">第四章 </w:t>
      </w:r>
      <w:r>
        <w:rPr>
          <w:rFonts w:hint="eastAsia"/>
          <w:b/>
          <w:bCs/>
          <w:highlight w:val="none"/>
          <w:lang w:val="en-US" w:eastAsia="zh-CN"/>
        </w:rPr>
        <w:t>竞赛</w:t>
      </w:r>
      <w:r>
        <w:rPr>
          <w:rFonts w:hint="eastAsia"/>
          <w:b/>
          <w:bCs/>
          <w:highlight w:val="none"/>
        </w:rPr>
        <w:t>经费使用与管理</w:t>
      </w:r>
      <w:bookmarkEnd w:id="8"/>
    </w:p>
    <w:p w14:paraId="73E62E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第十</w:t>
      </w:r>
      <w:r>
        <w:rPr>
          <w:rFonts w:hint="eastAsia" w:cs="Times New Roman"/>
          <w:b/>
          <w:bCs/>
          <w:szCs w:val="21"/>
          <w:highlight w:val="none"/>
          <w:lang w:val="en-US" w:eastAsia="zh-CN"/>
        </w:rPr>
        <w:t>八</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“环科赛”运行所需经费由竞赛主办单位共同承担。</w:t>
      </w:r>
    </w:p>
    <w:p w14:paraId="1D5B6E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w:t>
      </w:r>
      <w:r>
        <w:rPr>
          <w:rFonts w:hint="eastAsia" w:cs="Times New Roman"/>
          <w:b/>
          <w:bCs/>
          <w:szCs w:val="21"/>
          <w:highlight w:val="none"/>
          <w:lang w:val="en-US" w:eastAsia="zh-CN"/>
        </w:rPr>
        <w:t>十九</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组织委员会应在每年“环科赛”</w:t>
      </w:r>
      <w:r>
        <w:rPr>
          <w:rFonts w:hint="eastAsia" w:cs="Times New Roman"/>
          <w:szCs w:val="21"/>
          <w:highlight w:val="none"/>
          <w:lang w:val="en-US" w:eastAsia="zh-CN"/>
        </w:rPr>
        <w:t>颁奖典礼结束后2个</w:t>
      </w:r>
      <w:r>
        <w:rPr>
          <w:rFonts w:hint="eastAsia" w:ascii="Times New Roman" w:hAnsi="Times New Roman" w:cs="Times New Roman"/>
          <w:szCs w:val="21"/>
          <w:highlight w:val="none"/>
        </w:rPr>
        <w:t>月内向执行委员会提交年度财务决算及下一年度财务预算。</w:t>
      </w:r>
    </w:p>
    <w:p w14:paraId="32883D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第二十条</w:t>
      </w:r>
      <w:r>
        <w:rPr>
          <w:rFonts w:hint="eastAsia" w:ascii="Times New Roman" w:hAnsi="Times New Roman" w:cs="Times New Roman"/>
          <w:szCs w:val="21"/>
          <w:highlight w:val="none"/>
        </w:rPr>
        <w:t xml:space="preserve"> 年度财务预算报执行委员会审核</w:t>
      </w:r>
      <w:r>
        <w:rPr>
          <w:rFonts w:hint="eastAsia" w:cs="Times New Roman"/>
          <w:szCs w:val="21"/>
          <w:highlight w:val="none"/>
          <w:lang w:val="en-US" w:eastAsia="zh-CN"/>
        </w:rPr>
        <w:t>通过</w:t>
      </w:r>
      <w:r>
        <w:rPr>
          <w:rFonts w:hint="eastAsia" w:ascii="Times New Roman" w:hAnsi="Times New Roman" w:cs="Times New Roman"/>
          <w:szCs w:val="21"/>
          <w:highlight w:val="none"/>
        </w:rPr>
        <w:t>后</w:t>
      </w:r>
      <w:r>
        <w:rPr>
          <w:rFonts w:hint="eastAsia" w:cs="Times New Roman"/>
          <w:szCs w:val="21"/>
          <w:highlight w:val="none"/>
          <w:lang w:eastAsia="zh-CN"/>
        </w:rPr>
        <w:t>，</w:t>
      </w:r>
      <w:r>
        <w:rPr>
          <w:rFonts w:hint="eastAsia" w:cs="Times New Roman"/>
          <w:szCs w:val="21"/>
          <w:highlight w:val="none"/>
          <w:lang w:val="en-US" w:eastAsia="zh-CN"/>
        </w:rPr>
        <w:t>由</w:t>
      </w:r>
      <w:r>
        <w:rPr>
          <w:rFonts w:hint="eastAsia" w:ascii="Times New Roman" w:hAnsi="Times New Roman" w:cs="Times New Roman"/>
          <w:szCs w:val="21"/>
          <w:highlight w:val="none"/>
        </w:rPr>
        <w:t>组织委员会主任和</w:t>
      </w:r>
      <w:r>
        <w:rPr>
          <w:rFonts w:hint="eastAsia" w:cs="Times New Roman"/>
          <w:szCs w:val="21"/>
          <w:highlight w:val="none"/>
          <w:lang w:val="en-US" w:eastAsia="zh-CN"/>
        </w:rPr>
        <w:t>/或</w:t>
      </w:r>
      <w:r>
        <w:rPr>
          <w:rFonts w:hint="eastAsia" w:ascii="Times New Roman" w:hAnsi="Times New Roman" w:cs="Times New Roman"/>
          <w:szCs w:val="21"/>
          <w:highlight w:val="none"/>
        </w:rPr>
        <w:t>常务副主任负责具体支出管理。</w:t>
      </w:r>
    </w:p>
    <w:p w14:paraId="3D0AD4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第二十</w:t>
      </w:r>
      <w:r>
        <w:rPr>
          <w:rFonts w:hint="eastAsia" w:cs="Times New Roman"/>
          <w:b/>
          <w:bCs/>
          <w:szCs w:val="21"/>
          <w:highlight w:val="none"/>
          <w:lang w:val="en-US" w:eastAsia="zh-CN"/>
        </w:rPr>
        <w:t>一</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“环科赛”接受企事业单位与个人赞助和捐款</w:t>
      </w:r>
      <w:r>
        <w:rPr>
          <w:rFonts w:hint="eastAsia" w:cs="Times New Roman"/>
          <w:szCs w:val="21"/>
          <w:highlight w:val="none"/>
          <w:lang w:eastAsia="zh-CN"/>
        </w:rPr>
        <w:t>，</w:t>
      </w:r>
      <w:r>
        <w:rPr>
          <w:rFonts w:hint="eastAsia" w:cs="Times New Roman"/>
          <w:szCs w:val="21"/>
          <w:highlight w:val="none"/>
          <w:lang w:val="en-US" w:eastAsia="zh-CN"/>
        </w:rPr>
        <w:t>具体细则见附件9（第二十一届全国环境友好科技竞赛-赞助商细则）</w:t>
      </w:r>
      <w:r>
        <w:rPr>
          <w:rFonts w:hint="eastAsia" w:ascii="Times New Roman" w:hAnsi="Times New Roman" w:cs="Times New Roman"/>
          <w:szCs w:val="21"/>
          <w:highlight w:val="none"/>
        </w:rPr>
        <w:t>。赛事赞助冠名须由执行委员会讨论决定。</w:t>
      </w:r>
    </w:p>
    <w:p w14:paraId="5492A6D7">
      <w:pPr>
        <w:spacing w:line="360" w:lineRule="auto"/>
        <w:jc w:val="center"/>
        <w:outlineLvl w:val="1"/>
        <w:rPr>
          <w:rFonts w:hint="eastAsia"/>
          <w:b/>
          <w:bCs/>
          <w:highlight w:val="none"/>
        </w:rPr>
      </w:pPr>
      <w:bookmarkStart w:id="9" w:name="_Toc11928"/>
      <w:r>
        <w:rPr>
          <w:rFonts w:hint="eastAsia"/>
          <w:b/>
          <w:bCs/>
          <w:highlight w:val="none"/>
        </w:rPr>
        <w:t xml:space="preserve">第五章 </w:t>
      </w:r>
      <w:r>
        <w:rPr>
          <w:rFonts w:hint="eastAsia"/>
          <w:b/>
          <w:bCs/>
          <w:highlight w:val="none"/>
          <w:lang w:val="en-US" w:eastAsia="zh-CN"/>
        </w:rPr>
        <w:t>本届竞赛</w:t>
      </w:r>
      <w:r>
        <w:rPr>
          <w:rFonts w:hint="eastAsia"/>
          <w:b/>
          <w:bCs/>
          <w:highlight w:val="none"/>
        </w:rPr>
        <w:t>时间安排</w:t>
      </w:r>
      <w:bookmarkEnd w:id="9"/>
    </w:p>
    <w:p w14:paraId="6B7CFA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第二十</w:t>
      </w:r>
      <w:r>
        <w:rPr>
          <w:rFonts w:hint="eastAsia" w:cs="Times New Roman"/>
          <w:b/>
          <w:bCs/>
          <w:szCs w:val="21"/>
          <w:highlight w:val="none"/>
          <w:lang w:val="en-US" w:eastAsia="zh-CN"/>
        </w:rPr>
        <w:t>二</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w:t>
      </w:r>
      <w:r>
        <w:rPr>
          <w:rFonts w:hint="eastAsia" w:cs="Times New Roman"/>
          <w:szCs w:val="21"/>
          <w:highlight w:val="none"/>
          <w:lang w:val="en-US" w:eastAsia="zh-CN"/>
        </w:rPr>
        <w:t>第二十一届全国环境友好科技竞赛</w:t>
      </w:r>
      <w:r>
        <w:rPr>
          <w:rFonts w:hint="eastAsia" w:ascii="Times New Roman" w:hAnsi="Times New Roman" w:cs="Times New Roman"/>
          <w:szCs w:val="21"/>
          <w:highlight w:val="none"/>
        </w:rPr>
        <w:t>竞赛进度安排</w:t>
      </w:r>
      <w:r>
        <w:rPr>
          <w:rFonts w:hint="eastAsia" w:cs="Times New Roman"/>
          <w:szCs w:val="21"/>
          <w:highlight w:val="none"/>
          <w:lang w:val="en-US" w:eastAsia="zh-CN"/>
        </w:rPr>
        <w:t>进度</w:t>
      </w:r>
      <w:r>
        <w:rPr>
          <w:rFonts w:hint="eastAsia" w:ascii="Times New Roman" w:hAnsi="Times New Roman" w:cs="Times New Roman"/>
          <w:szCs w:val="21"/>
          <w:highlight w:val="none"/>
        </w:rPr>
        <w:t>表</w:t>
      </w:r>
      <w:r>
        <w:rPr>
          <w:rFonts w:hint="eastAsia" w:cs="Times New Roman"/>
          <w:szCs w:val="21"/>
          <w:highlight w:val="none"/>
          <w:lang w:val="en-US" w:eastAsia="zh-CN"/>
        </w:rPr>
        <w:t>如下所示</w:t>
      </w:r>
      <w:r>
        <w:rPr>
          <w:rFonts w:hint="eastAsia" w:ascii="Times New Roman" w:hAnsi="Times New Roman" w:cs="Times New Roman"/>
          <w:szCs w:val="21"/>
          <w:highlight w:val="none"/>
        </w:rPr>
        <w:t>：</w:t>
      </w:r>
    </w:p>
    <w:tbl>
      <w:tblPr>
        <w:tblStyle w:val="89"/>
        <w:tblW w:w="6463" w:type="dxa"/>
        <w:tblInd w:w="-7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5216"/>
      </w:tblGrid>
      <w:tr w14:paraId="65CF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single" w:color="auto" w:sz="12" w:space="0"/>
              <w:left w:val="nil"/>
              <w:bottom w:val="single" w:color="auto" w:sz="6" w:space="0"/>
              <w:right w:val="nil"/>
            </w:tcBorders>
            <w:vAlign w:val="center"/>
          </w:tcPr>
          <w:p w14:paraId="06B6CB30">
            <w:pPr>
              <w:spacing w:line="240" w:lineRule="auto"/>
              <w:jc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b/>
                <w:sz w:val="21"/>
                <w:szCs w:val="21"/>
                <w:highlight w:val="none"/>
              </w:rPr>
              <w:t>时间</w:t>
            </w:r>
          </w:p>
        </w:tc>
        <w:tc>
          <w:tcPr>
            <w:tcW w:w="5216" w:type="dxa"/>
            <w:tcBorders>
              <w:top w:val="single" w:color="auto" w:sz="12" w:space="0"/>
              <w:left w:val="nil"/>
              <w:bottom w:val="single" w:color="auto" w:sz="6" w:space="0"/>
              <w:right w:val="nil"/>
            </w:tcBorders>
            <w:vAlign w:val="center"/>
          </w:tcPr>
          <w:p w14:paraId="1ED52196">
            <w:pPr>
              <w:spacing w:line="240" w:lineRule="auto"/>
              <w:jc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b/>
                <w:sz w:val="21"/>
                <w:szCs w:val="21"/>
                <w:highlight w:val="none"/>
              </w:rPr>
              <w:t>内容</w:t>
            </w:r>
          </w:p>
        </w:tc>
      </w:tr>
      <w:tr w14:paraId="66C4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single" w:color="auto" w:sz="6" w:space="0"/>
              <w:left w:val="nil"/>
              <w:bottom w:val="nil"/>
              <w:right w:val="nil"/>
            </w:tcBorders>
            <w:shd w:val="clear" w:color="auto" w:fill="FFFFFF" w:themeFill="background1"/>
            <w:vAlign w:val="center"/>
          </w:tcPr>
          <w:p w14:paraId="2680C3A0">
            <w:pPr>
              <w:spacing w:line="240" w:lineRule="auto"/>
              <w:jc w:val="center"/>
              <w:rPr>
                <w:rFonts w:hint="default" w:ascii="Times New Roman" w:hAnsi="Times New Roman" w:eastAsia="宋体" w:cs="Times New Roman"/>
                <w:b w:val="0"/>
                <w:bCs w:val="0"/>
                <w:sz w:val="21"/>
                <w:szCs w:val="21"/>
                <w:highlight w:val="none"/>
                <w:vertAlign w:val="baseline"/>
                <w:lang w:val="en-US"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3</w:t>
            </w: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4</w:t>
            </w:r>
          </w:p>
        </w:tc>
        <w:tc>
          <w:tcPr>
            <w:tcW w:w="5216" w:type="dxa"/>
            <w:tcBorders>
              <w:top w:val="single" w:color="auto" w:sz="6" w:space="0"/>
              <w:left w:val="nil"/>
              <w:bottom w:val="nil"/>
              <w:right w:val="nil"/>
            </w:tcBorders>
            <w:shd w:val="clear" w:color="auto" w:fill="FFFFFF" w:themeFill="background1"/>
            <w:vAlign w:val="center"/>
          </w:tcPr>
          <w:p w14:paraId="5FC41914">
            <w:pPr>
              <w:spacing w:line="240" w:lineRule="auto"/>
              <w:jc w:val="center"/>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发布竞赛章程</w:t>
            </w:r>
            <w:r>
              <w:rPr>
                <w:rFonts w:hint="eastAsia" w:ascii="Times New Roman" w:hAnsi="Times New Roman"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开放</w:t>
            </w:r>
            <w:r>
              <w:rPr>
                <w:rFonts w:hint="eastAsia" w:ascii="Times New Roman" w:hAnsi="Times New Roman" w:cs="Times New Roman"/>
                <w:b w:val="0"/>
                <w:bCs w:val="0"/>
                <w:sz w:val="21"/>
                <w:szCs w:val="21"/>
                <w:highlight w:val="none"/>
                <w:lang w:val="en-US" w:eastAsia="zh-CN"/>
              </w:rPr>
              <w:t>赛事</w:t>
            </w:r>
            <w:r>
              <w:rPr>
                <w:rFonts w:hint="default" w:ascii="Times New Roman" w:hAnsi="Times New Roman" w:eastAsia="宋体" w:cs="Times New Roman"/>
                <w:b w:val="0"/>
                <w:bCs w:val="0"/>
                <w:sz w:val="21"/>
                <w:szCs w:val="21"/>
                <w:highlight w:val="none"/>
              </w:rPr>
              <w:t>报名</w:t>
            </w:r>
            <w:r>
              <w:rPr>
                <w:rFonts w:hint="eastAsia" w:ascii="Times New Roman" w:hAnsi="Times New Roman"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开展宣传工作</w:t>
            </w:r>
          </w:p>
        </w:tc>
      </w:tr>
      <w:tr w14:paraId="51EB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11044B67">
            <w:pPr>
              <w:spacing w:line="240" w:lineRule="auto"/>
              <w:jc w:val="center"/>
              <w:rPr>
                <w:rFonts w:hint="eastAsia" w:ascii="Times New Roman" w:hAnsi="Times New Roman" w:eastAsia="宋体" w:cs="Times New Roman"/>
                <w:b w:val="0"/>
                <w:bCs w:val="0"/>
                <w:sz w:val="21"/>
                <w:szCs w:val="21"/>
                <w:highlight w:val="none"/>
                <w:vertAlign w:val="baseline"/>
                <w:lang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4</w:t>
            </w:r>
          </w:p>
        </w:tc>
        <w:tc>
          <w:tcPr>
            <w:tcW w:w="5216" w:type="dxa"/>
            <w:tcBorders>
              <w:top w:val="nil"/>
              <w:left w:val="nil"/>
              <w:bottom w:val="nil"/>
              <w:right w:val="nil"/>
            </w:tcBorders>
            <w:shd w:val="clear" w:color="auto" w:fill="FFFFFF" w:themeFill="background1"/>
            <w:vAlign w:val="center"/>
          </w:tcPr>
          <w:p w14:paraId="4500875B">
            <w:pPr>
              <w:spacing w:line="240" w:lineRule="auto"/>
              <w:jc w:val="center"/>
              <w:rPr>
                <w:rFonts w:hint="default" w:ascii="Times New Roman" w:hAnsi="Times New Roman" w:eastAsia="宋体" w:cs="Times New Roman"/>
                <w:b w:val="0"/>
                <w:bCs w:val="0"/>
                <w:sz w:val="21"/>
                <w:szCs w:val="21"/>
                <w:highlight w:val="none"/>
                <w:vertAlign w:val="baseline"/>
              </w:rPr>
            </w:pPr>
            <w:r>
              <w:rPr>
                <w:rFonts w:hint="eastAsia" w:cs="Times New Roman"/>
                <w:b w:val="0"/>
                <w:bCs w:val="0"/>
                <w:sz w:val="21"/>
                <w:szCs w:val="21"/>
                <w:highlight w:val="none"/>
                <w:lang w:val="en-US" w:eastAsia="zh-CN"/>
              </w:rPr>
              <w:t>第二十一届</w:t>
            </w:r>
            <w:r>
              <w:rPr>
                <w:rFonts w:hint="eastAsia" w:ascii="Times New Roman" w:hAnsi="Times New Roman" w:cs="Times New Roman"/>
                <w:b w:val="0"/>
                <w:bCs w:val="0"/>
                <w:sz w:val="21"/>
                <w:szCs w:val="21"/>
                <w:highlight w:val="none"/>
                <w:lang w:val="en-US" w:eastAsia="zh-CN"/>
              </w:rPr>
              <w:t>全国环境友好科技竞赛</w:t>
            </w:r>
            <w:r>
              <w:rPr>
                <w:rFonts w:hint="default" w:ascii="Times New Roman" w:hAnsi="Times New Roman" w:eastAsia="宋体" w:cs="Times New Roman"/>
                <w:b w:val="0"/>
                <w:bCs w:val="0"/>
                <w:sz w:val="21"/>
                <w:szCs w:val="21"/>
                <w:highlight w:val="none"/>
              </w:rPr>
              <w:t>启动仪式</w:t>
            </w:r>
          </w:p>
        </w:tc>
      </w:tr>
      <w:tr w14:paraId="3387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252D8B93">
            <w:pPr>
              <w:spacing w:line="240" w:lineRule="auto"/>
              <w:jc w:val="center"/>
              <w:rPr>
                <w:rFonts w:hint="eastAsia" w:ascii="Times New Roman" w:hAnsi="Times New Roman" w:eastAsia="宋体" w:cs="Times New Roman"/>
                <w:b w:val="0"/>
                <w:bCs w:val="0"/>
                <w:sz w:val="21"/>
                <w:szCs w:val="21"/>
                <w:highlight w:val="none"/>
                <w:vertAlign w:val="baseline"/>
                <w:lang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w:t>
            </w:r>
            <w:r>
              <w:rPr>
                <w:rFonts w:hint="eastAsia" w:ascii="Times New Roman" w:hAnsi="Times New Roman" w:cs="Times New Roman"/>
                <w:b w:val="0"/>
                <w:bCs w:val="0"/>
                <w:sz w:val="21"/>
                <w:szCs w:val="21"/>
                <w:highlight w:val="none"/>
                <w:lang w:val="en-US" w:eastAsia="zh-CN"/>
              </w:rPr>
              <w:t>5</w:t>
            </w:r>
            <w:r>
              <w:rPr>
                <w:rFonts w:hint="default" w:ascii="Times New Roman" w:hAnsi="Times New Roman" w:eastAsia="宋体" w:cs="Times New Roman"/>
                <w:b w:val="0"/>
                <w:bCs w:val="0"/>
                <w:sz w:val="21"/>
                <w:szCs w:val="21"/>
                <w:highlight w:val="none"/>
              </w:rPr>
              <w:t>~</w:t>
            </w:r>
            <w:r>
              <w:rPr>
                <w:rFonts w:hint="eastAsia" w:ascii="Times New Roman" w:hAnsi="Times New Roman" w:cs="Times New Roman"/>
                <w:b w:val="0"/>
                <w:bCs w:val="0"/>
                <w:sz w:val="21"/>
                <w:szCs w:val="21"/>
                <w:highlight w:val="none"/>
                <w:lang w:val="en-US" w:eastAsia="zh-CN"/>
              </w:rPr>
              <w:t>7</w:t>
            </w:r>
          </w:p>
        </w:tc>
        <w:tc>
          <w:tcPr>
            <w:tcW w:w="5216" w:type="dxa"/>
            <w:tcBorders>
              <w:top w:val="nil"/>
              <w:left w:val="nil"/>
              <w:bottom w:val="nil"/>
              <w:right w:val="nil"/>
            </w:tcBorders>
            <w:shd w:val="clear" w:color="auto" w:fill="FFFFFF" w:themeFill="background1"/>
            <w:vAlign w:val="center"/>
          </w:tcPr>
          <w:p w14:paraId="7E925D4D">
            <w:pPr>
              <w:spacing w:line="240" w:lineRule="auto"/>
              <w:jc w:val="center"/>
              <w:rPr>
                <w:rFonts w:hint="default" w:ascii="Times New Roman" w:hAnsi="Times New Roman" w:eastAsia="宋体" w:cs="Times New Roman"/>
                <w:b w:val="0"/>
                <w:bCs w:val="0"/>
                <w:sz w:val="21"/>
                <w:szCs w:val="21"/>
                <w:highlight w:val="none"/>
                <w:vertAlign w:val="baseline"/>
              </w:rPr>
            </w:pPr>
            <w:r>
              <w:rPr>
                <w:rFonts w:hint="eastAsia" w:ascii="Times New Roman" w:hAnsi="Times New Roman" w:cs="Times New Roman"/>
                <w:b w:val="0"/>
                <w:bCs w:val="0"/>
                <w:sz w:val="21"/>
                <w:szCs w:val="21"/>
                <w:highlight w:val="none"/>
                <w:lang w:val="en-US" w:eastAsia="zh-CN"/>
              </w:rPr>
              <w:t>往届优秀参赛选手分享、</w:t>
            </w:r>
            <w:r>
              <w:rPr>
                <w:rFonts w:hint="eastAsia" w:cs="Times New Roman"/>
                <w:b w:val="0"/>
                <w:bCs w:val="0"/>
                <w:sz w:val="21"/>
                <w:szCs w:val="21"/>
                <w:highlight w:val="none"/>
                <w:lang w:val="en-US" w:eastAsia="zh-CN"/>
              </w:rPr>
              <w:t>参赛辅导</w:t>
            </w:r>
            <w:r>
              <w:rPr>
                <w:rFonts w:hint="default" w:ascii="Times New Roman" w:hAnsi="Times New Roman" w:eastAsia="宋体" w:cs="Times New Roman"/>
                <w:b w:val="0"/>
                <w:bCs w:val="0"/>
                <w:sz w:val="21"/>
                <w:szCs w:val="21"/>
                <w:highlight w:val="none"/>
              </w:rPr>
              <w:t>讲座</w:t>
            </w:r>
          </w:p>
        </w:tc>
      </w:tr>
      <w:tr w14:paraId="1A6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735226F4">
            <w:pPr>
              <w:spacing w:line="240" w:lineRule="auto"/>
              <w:jc w:val="center"/>
              <w:rPr>
                <w:rFonts w:hint="eastAsia" w:ascii="Times New Roman" w:hAnsi="Times New Roman" w:eastAsia="宋体" w:cs="Times New Roman"/>
                <w:b w:val="0"/>
                <w:bCs w:val="0"/>
                <w:sz w:val="21"/>
                <w:szCs w:val="21"/>
                <w:highlight w:val="none"/>
                <w:lang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.6.</w:t>
            </w:r>
            <w:r>
              <w:rPr>
                <w:rFonts w:hint="eastAsia" w:cs="Times New Roman"/>
                <w:b w:val="0"/>
                <w:bCs w:val="0"/>
                <w:sz w:val="21"/>
                <w:szCs w:val="21"/>
                <w:highlight w:val="none"/>
                <w:lang w:val="en-US" w:eastAsia="zh-CN"/>
              </w:rPr>
              <w:t>1</w:t>
            </w:r>
          </w:p>
        </w:tc>
        <w:tc>
          <w:tcPr>
            <w:tcW w:w="5216" w:type="dxa"/>
            <w:tcBorders>
              <w:top w:val="nil"/>
              <w:left w:val="nil"/>
              <w:bottom w:val="nil"/>
              <w:right w:val="nil"/>
            </w:tcBorders>
            <w:shd w:val="clear" w:color="auto" w:fill="FFFFFF" w:themeFill="background1"/>
            <w:vAlign w:val="center"/>
          </w:tcPr>
          <w:p w14:paraId="52B9B288">
            <w:pPr>
              <w:spacing w:line="240" w:lineRule="auto"/>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竞赛报名截止</w:t>
            </w:r>
          </w:p>
        </w:tc>
      </w:tr>
      <w:tr w14:paraId="161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41650C34">
            <w:pPr>
              <w:spacing w:line="240" w:lineRule="auto"/>
              <w:jc w:val="center"/>
              <w:rPr>
                <w:rFonts w:hint="default"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.6.</w:t>
            </w:r>
            <w:r>
              <w:rPr>
                <w:rFonts w:hint="eastAsia" w:cs="Times New Roman"/>
                <w:b w:val="0"/>
                <w:bCs w:val="0"/>
                <w:sz w:val="21"/>
                <w:szCs w:val="21"/>
                <w:highlight w:val="none"/>
                <w:lang w:val="en-US" w:eastAsia="zh-CN"/>
              </w:rPr>
              <w:t>15</w:t>
            </w:r>
          </w:p>
        </w:tc>
        <w:tc>
          <w:tcPr>
            <w:tcW w:w="5216" w:type="dxa"/>
            <w:tcBorders>
              <w:top w:val="nil"/>
              <w:left w:val="nil"/>
              <w:bottom w:val="nil"/>
              <w:right w:val="nil"/>
            </w:tcBorders>
            <w:shd w:val="clear" w:color="auto" w:fill="FFFFFF" w:themeFill="background1"/>
            <w:vAlign w:val="center"/>
          </w:tcPr>
          <w:p w14:paraId="6A22295E">
            <w:pPr>
              <w:spacing w:line="240" w:lineRule="auto"/>
              <w:jc w:val="center"/>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竞赛</w:t>
            </w:r>
            <w:r>
              <w:rPr>
                <w:rFonts w:hint="default" w:ascii="Times New Roman" w:hAnsi="Times New Roman" w:eastAsia="宋体" w:cs="Times New Roman"/>
                <w:b w:val="0"/>
                <w:bCs w:val="0"/>
                <w:sz w:val="21"/>
                <w:szCs w:val="21"/>
                <w:highlight w:val="none"/>
              </w:rPr>
              <w:t>作品提交截止</w:t>
            </w:r>
          </w:p>
        </w:tc>
      </w:tr>
      <w:tr w14:paraId="103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6836CE4A">
            <w:pPr>
              <w:spacing w:line="240" w:lineRule="auto"/>
              <w:jc w:val="center"/>
              <w:rPr>
                <w:rFonts w:hint="default" w:ascii="Times New Roman" w:hAnsi="Times New Roman" w:eastAsia="宋体" w:cs="Times New Roman"/>
                <w:b w:val="0"/>
                <w:bCs w:val="0"/>
                <w:sz w:val="21"/>
                <w:szCs w:val="21"/>
                <w:highlight w:val="none"/>
                <w:vertAlign w:val="baseline"/>
                <w:lang w:val="en-US"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w:t>
            </w:r>
            <w:r>
              <w:rPr>
                <w:rFonts w:hint="eastAsia" w:ascii="Times New Roman" w:hAnsi="Times New Roman" w:cs="Times New Roman"/>
                <w:b w:val="0"/>
                <w:bCs w:val="0"/>
                <w:sz w:val="21"/>
                <w:szCs w:val="21"/>
                <w:highlight w:val="none"/>
                <w:lang w:val="en-US" w:eastAsia="zh-CN"/>
              </w:rPr>
              <w:t>7~8</w:t>
            </w:r>
          </w:p>
        </w:tc>
        <w:tc>
          <w:tcPr>
            <w:tcW w:w="5216" w:type="dxa"/>
            <w:tcBorders>
              <w:top w:val="nil"/>
              <w:left w:val="nil"/>
              <w:bottom w:val="nil"/>
              <w:right w:val="nil"/>
            </w:tcBorders>
            <w:shd w:val="clear" w:color="auto" w:fill="FFFFFF" w:themeFill="background1"/>
            <w:vAlign w:val="center"/>
          </w:tcPr>
          <w:p w14:paraId="541E8303">
            <w:pPr>
              <w:spacing w:line="240" w:lineRule="auto"/>
              <w:jc w:val="center"/>
              <w:rPr>
                <w:rFonts w:hint="eastAsia" w:ascii="Times New Roman" w:hAnsi="Times New Roman" w:eastAsia="宋体" w:cs="Times New Roman"/>
                <w:b w:val="0"/>
                <w:bCs w:val="0"/>
                <w:sz w:val="21"/>
                <w:szCs w:val="21"/>
                <w:highlight w:val="none"/>
                <w:lang w:eastAsia="zh-CN"/>
              </w:rPr>
            </w:pPr>
            <w:r>
              <w:rPr>
                <w:rFonts w:hint="eastAsia" w:ascii="Times New Roman" w:hAnsi="Times New Roman" w:cs="Times New Roman"/>
                <w:b w:val="0"/>
                <w:bCs w:val="0"/>
                <w:sz w:val="21"/>
                <w:szCs w:val="21"/>
                <w:highlight w:val="none"/>
                <w:lang w:val="en-US" w:eastAsia="zh-CN"/>
              </w:rPr>
              <w:t>各赛道竞赛作品</w:t>
            </w:r>
            <w:r>
              <w:rPr>
                <w:rFonts w:hint="default" w:ascii="Times New Roman" w:hAnsi="Times New Roman" w:eastAsia="宋体" w:cs="Times New Roman"/>
                <w:b w:val="0"/>
                <w:bCs w:val="0"/>
                <w:sz w:val="21"/>
                <w:szCs w:val="21"/>
                <w:highlight w:val="none"/>
              </w:rPr>
              <w:t>初审工作</w:t>
            </w:r>
            <w:r>
              <w:rPr>
                <w:rFonts w:hint="eastAsia" w:ascii="Times New Roman" w:hAnsi="Times New Roman" w:cs="Times New Roman"/>
                <w:b w:val="0"/>
                <w:bCs w:val="0"/>
                <w:sz w:val="21"/>
                <w:szCs w:val="21"/>
                <w:highlight w:val="none"/>
                <w:lang w:eastAsia="zh-CN"/>
              </w:rPr>
              <w:t>（</w:t>
            </w:r>
            <w:r>
              <w:rPr>
                <w:rFonts w:hint="eastAsia" w:ascii="Times New Roman" w:hAnsi="Times New Roman" w:cs="Times New Roman"/>
                <w:b w:val="0"/>
                <w:bCs w:val="0"/>
                <w:sz w:val="21"/>
                <w:szCs w:val="21"/>
                <w:highlight w:val="none"/>
                <w:lang w:val="en-US" w:eastAsia="zh-CN"/>
              </w:rPr>
              <w:t>不少于两轮</w:t>
            </w:r>
            <w:r>
              <w:rPr>
                <w:rFonts w:hint="eastAsia" w:ascii="Times New Roman" w:hAnsi="Times New Roman" w:cs="Times New Roman"/>
                <w:b w:val="0"/>
                <w:bCs w:val="0"/>
                <w:sz w:val="21"/>
                <w:szCs w:val="21"/>
                <w:highlight w:val="none"/>
                <w:lang w:eastAsia="zh-CN"/>
              </w:rPr>
              <w:t>）</w:t>
            </w:r>
          </w:p>
          <w:p w14:paraId="5C07CF5E">
            <w:pPr>
              <w:spacing w:line="240" w:lineRule="auto"/>
              <w:jc w:val="center"/>
              <w:rPr>
                <w:rFonts w:hint="default" w:ascii="Times New Roman" w:hAnsi="Times New Roman" w:eastAsia="宋体" w:cs="Times New Roman"/>
                <w:b w:val="0"/>
                <w:bCs w:val="0"/>
                <w:sz w:val="21"/>
                <w:szCs w:val="21"/>
                <w:highlight w:val="none"/>
                <w:vertAlign w:val="baseline"/>
              </w:rPr>
            </w:pPr>
            <w:r>
              <w:rPr>
                <w:rFonts w:hint="eastAsia" w:ascii="Times New Roman" w:hAnsi="Times New Roman" w:cs="Times New Roman"/>
                <w:b w:val="0"/>
                <w:bCs w:val="0"/>
                <w:sz w:val="21"/>
                <w:szCs w:val="21"/>
                <w:highlight w:val="none"/>
                <w:lang w:val="en-US" w:eastAsia="zh-CN"/>
              </w:rPr>
              <w:t>各赛道竞赛作品进入终审答辩名单</w:t>
            </w:r>
            <w:r>
              <w:rPr>
                <w:rFonts w:hint="default" w:ascii="Times New Roman" w:hAnsi="Times New Roman" w:eastAsia="宋体" w:cs="Times New Roman"/>
                <w:b w:val="0"/>
                <w:bCs w:val="0"/>
                <w:sz w:val="21"/>
                <w:szCs w:val="21"/>
                <w:highlight w:val="none"/>
              </w:rPr>
              <w:t>公示</w:t>
            </w:r>
          </w:p>
        </w:tc>
      </w:tr>
      <w:tr w14:paraId="29B2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14:paraId="57D07DD2">
            <w:pPr>
              <w:spacing w:line="240" w:lineRule="auto"/>
              <w:jc w:val="center"/>
              <w:rPr>
                <w:rFonts w:hint="eastAsia" w:ascii="Times New Roman" w:hAnsi="Times New Roman" w:eastAsia="宋体" w:cs="Times New Roman"/>
                <w:b w:val="0"/>
                <w:bCs w:val="0"/>
                <w:sz w:val="21"/>
                <w:szCs w:val="21"/>
                <w:highlight w:val="none"/>
                <w:vertAlign w:val="baseline"/>
                <w:lang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8</w:t>
            </w:r>
          </w:p>
        </w:tc>
        <w:tc>
          <w:tcPr>
            <w:tcW w:w="5216" w:type="dxa"/>
            <w:tcBorders>
              <w:top w:val="nil"/>
              <w:left w:val="nil"/>
              <w:bottom w:val="nil"/>
              <w:right w:val="nil"/>
            </w:tcBorders>
            <w:shd w:val="clear" w:color="auto" w:fill="FFFFFF" w:themeFill="background1"/>
            <w:vAlign w:val="center"/>
          </w:tcPr>
          <w:p w14:paraId="0AAB2213">
            <w:pPr>
              <w:spacing w:line="240" w:lineRule="auto"/>
              <w:jc w:val="center"/>
              <w:rPr>
                <w:rFonts w:hint="default" w:ascii="Times New Roman" w:hAnsi="Times New Roman" w:eastAsia="宋体" w:cs="Times New Roman"/>
                <w:b w:val="0"/>
                <w:bCs w:val="0"/>
                <w:sz w:val="21"/>
                <w:szCs w:val="21"/>
                <w:highlight w:val="none"/>
              </w:rPr>
            </w:pPr>
            <w:r>
              <w:rPr>
                <w:rFonts w:hint="eastAsia" w:cs="Times New Roman"/>
                <w:b w:val="0"/>
                <w:bCs w:val="0"/>
                <w:sz w:val="21"/>
                <w:szCs w:val="21"/>
                <w:highlight w:val="none"/>
                <w:lang w:eastAsia="zh-CN"/>
              </w:rPr>
              <w:t>第二十一届</w:t>
            </w:r>
            <w:r>
              <w:rPr>
                <w:rFonts w:hint="default" w:ascii="Times New Roman" w:hAnsi="Times New Roman" w:eastAsia="宋体" w:cs="Times New Roman"/>
                <w:b w:val="0"/>
                <w:bCs w:val="0"/>
                <w:sz w:val="21"/>
                <w:szCs w:val="21"/>
                <w:highlight w:val="none"/>
              </w:rPr>
              <w:t>全国环境友好科技竞赛终审答辩</w:t>
            </w:r>
          </w:p>
          <w:p w14:paraId="74C40DB2">
            <w:pPr>
              <w:spacing w:line="240" w:lineRule="auto"/>
              <w:jc w:val="center"/>
              <w:rPr>
                <w:rFonts w:hint="eastAsia"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rPr>
              <w:t>公示</w:t>
            </w:r>
            <w:r>
              <w:rPr>
                <w:rFonts w:hint="eastAsia" w:cs="Times New Roman"/>
                <w:b w:val="0"/>
                <w:bCs w:val="0"/>
                <w:sz w:val="21"/>
                <w:szCs w:val="21"/>
                <w:highlight w:val="none"/>
                <w:lang w:eastAsia="zh-CN"/>
              </w:rPr>
              <w:t>第二十一届</w:t>
            </w:r>
            <w:r>
              <w:rPr>
                <w:rFonts w:hint="default" w:ascii="Times New Roman" w:hAnsi="Times New Roman" w:eastAsia="宋体" w:cs="Times New Roman"/>
                <w:b w:val="0"/>
                <w:bCs w:val="0"/>
                <w:sz w:val="21"/>
                <w:szCs w:val="21"/>
                <w:highlight w:val="none"/>
              </w:rPr>
              <w:t>全国环境友好科技竞赛</w:t>
            </w:r>
            <w:r>
              <w:rPr>
                <w:rFonts w:hint="eastAsia" w:ascii="Times New Roman" w:hAnsi="Times New Roman" w:cs="Times New Roman"/>
                <w:b w:val="0"/>
                <w:bCs w:val="0"/>
                <w:sz w:val="21"/>
                <w:szCs w:val="21"/>
                <w:highlight w:val="none"/>
                <w:lang w:val="en-US" w:eastAsia="zh-CN"/>
              </w:rPr>
              <w:t>获奖名单</w:t>
            </w:r>
          </w:p>
        </w:tc>
      </w:tr>
      <w:tr w14:paraId="7665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single" w:color="auto" w:sz="12" w:space="0"/>
              <w:right w:val="nil"/>
            </w:tcBorders>
            <w:shd w:val="clear" w:color="auto" w:fill="FFFFFF" w:themeFill="background1"/>
            <w:vAlign w:val="center"/>
          </w:tcPr>
          <w:p w14:paraId="46E3C3A1">
            <w:pPr>
              <w:spacing w:line="240" w:lineRule="auto"/>
              <w:jc w:val="center"/>
              <w:rPr>
                <w:rFonts w:hint="default" w:ascii="Times New Roman" w:hAnsi="Times New Roman" w:eastAsia="宋体" w:cs="Times New Roman"/>
                <w:b w:val="0"/>
                <w:bCs w:val="0"/>
                <w:sz w:val="21"/>
                <w:szCs w:val="21"/>
                <w:highlight w:val="none"/>
                <w:vertAlign w:val="baseline"/>
                <w:lang w:val="en-US" w:eastAsia="zh-CN"/>
              </w:rPr>
            </w:pPr>
            <w:r>
              <w:rPr>
                <w:rFonts w:hint="eastAsia" w:cs="Times New Roman"/>
                <w:b w:val="0"/>
                <w:bCs w:val="0"/>
                <w:sz w:val="21"/>
                <w:szCs w:val="21"/>
                <w:highlight w:val="none"/>
                <w:lang w:eastAsia="zh-CN"/>
              </w:rPr>
              <w:t>2026</w:t>
            </w:r>
            <w:r>
              <w:rPr>
                <w:rFonts w:hint="default" w:ascii="Times New Roman" w:hAnsi="Times New Roman" w:eastAsia="宋体" w:cs="Times New Roman"/>
                <w:b w:val="0"/>
                <w:bCs w:val="0"/>
                <w:sz w:val="21"/>
                <w:szCs w:val="21"/>
                <w:highlight w:val="none"/>
              </w:rPr>
              <w:t>.11</w:t>
            </w:r>
          </w:p>
        </w:tc>
        <w:tc>
          <w:tcPr>
            <w:tcW w:w="5216" w:type="dxa"/>
            <w:tcBorders>
              <w:top w:val="nil"/>
              <w:left w:val="nil"/>
              <w:bottom w:val="single" w:color="auto" w:sz="12" w:space="0"/>
              <w:right w:val="nil"/>
            </w:tcBorders>
            <w:shd w:val="clear" w:color="auto" w:fill="FFFFFF" w:themeFill="background1"/>
            <w:vAlign w:val="center"/>
          </w:tcPr>
          <w:p w14:paraId="584EC422">
            <w:pPr>
              <w:spacing w:line="240" w:lineRule="auto"/>
              <w:jc w:val="center"/>
              <w:rPr>
                <w:rFonts w:hint="default" w:ascii="Times New Roman" w:hAnsi="Times New Roman" w:eastAsia="宋体" w:cs="Times New Roman"/>
                <w:b w:val="0"/>
                <w:bCs w:val="0"/>
                <w:sz w:val="21"/>
                <w:szCs w:val="21"/>
                <w:highlight w:val="none"/>
                <w:lang w:val="en-US"/>
              </w:rPr>
            </w:pPr>
            <w:r>
              <w:rPr>
                <w:rFonts w:hint="eastAsia" w:cs="Times New Roman"/>
                <w:b w:val="0"/>
                <w:bCs w:val="0"/>
                <w:sz w:val="21"/>
                <w:szCs w:val="21"/>
                <w:highlight w:val="none"/>
                <w:lang w:val="en-US" w:eastAsia="zh-CN"/>
              </w:rPr>
              <w:t>第二十一届</w:t>
            </w:r>
            <w:r>
              <w:rPr>
                <w:rFonts w:hint="eastAsia" w:ascii="Times New Roman" w:hAnsi="Times New Roman" w:cs="Times New Roman"/>
                <w:b w:val="0"/>
                <w:bCs w:val="0"/>
                <w:sz w:val="21"/>
                <w:szCs w:val="21"/>
                <w:highlight w:val="none"/>
                <w:lang w:val="en-US" w:eastAsia="zh-CN"/>
              </w:rPr>
              <w:t>全国环境友好科技竞赛</w:t>
            </w:r>
            <w:r>
              <w:rPr>
                <w:rFonts w:hint="default" w:ascii="Times New Roman" w:hAnsi="Times New Roman" w:eastAsia="宋体" w:cs="Times New Roman"/>
                <w:b w:val="0"/>
                <w:bCs w:val="0"/>
                <w:sz w:val="21"/>
                <w:szCs w:val="21"/>
                <w:highlight w:val="none"/>
              </w:rPr>
              <w:t>颁奖典礼</w:t>
            </w:r>
          </w:p>
        </w:tc>
      </w:tr>
    </w:tbl>
    <w:p w14:paraId="61EF3B28">
      <w:pPr>
        <w:spacing w:line="360" w:lineRule="auto"/>
        <w:jc w:val="center"/>
        <w:outlineLvl w:val="1"/>
        <w:rPr>
          <w:rFonts w:hint="eastAsia"/>
          <w:b/>
          <w:bCs/>
          <w:highlight w:val="none"/>
          <w:lang w:val="en-US" w:eastAsia="zh-CN"/>
        </w:rPr>
      </w:pPr>
      <w:bookmarkStart w:id="10" w:name="_Toc27304"/>
      <w:r>
        <w:rPr>
          <w:rFonts w:hint="eastAsia"/>
          <w:b/>
          <w:bCs/>
          <w:highlight w:val="none"/>
          <w:lang w:val="en-US" w:eastAsia="zh-CN"/>
        </w:rPr>
        <w:t>第六章 附则</w:t>
      </w:r>
      <w:bookmarkEnd w:id="10"/>
    </w:p>
    <w:p w14:paraId="7CAF3F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Cs w:val="21"/>
          <w:highlight w:val="none"/>
        </w:rPr>
      </w:pPr>
      <w:r>
        <w:rPr>
          <w:rFonts w:hint="eastAsia" w:ascii="Times New Roman" w:hAnsi="Times New Roman" w:cs="Times New Roman"/>
          <w:b/>
          <w:bCs/>
          <w:szCs w:val="21"/>
          <w:highlight w:val="none"/>
        </w:rPr>
        <w:t>第二十</w:t>
      </w:r>
      <w:r>
        <w:rPr>
          <w:rFonts w:hint="eastAsia" w:cs="Times New Roman"/>
          <w:b/>
          <w:bCs/>
          <w:szCs w:val="21"/>
          <w:highlight w:val="none"/>
          <w:lang w:val="en-US" w:eastAsia="zh-CN"/>
        </w:rPr>
        <w:t>三</w:t>
      </w:r>
      <w:r>
        <w:rPr>
          <w:rFonts w:hint="eastAsia" w:ascii="Times New Roman" w:hAnsi="Times New Roman" w:cs="Times New Roman"/>
          <w:b/>
          <w:bCs/>
          <w:szCs w:val="21"/>
          <w:highlight w:val="none"/>
        </w:rPr>
        <w:t>条</w:t>
      </w:r>
      <w:r>
        <w:rPr>
          <w:rFonts w:hint="eastAsia" w:ascii="Times New Roman" w:hAnsi="Times New Roman" w:cs="Times New Roman"/>
          <w:szCs w:val="21"/>
          <w:highlight w:val="none"/>
        </w:rPr>
        <w:t xml:space="preserve"> </w:t>
      </w:r>
      <w:r>
        <w:rPr>
          <w:rFonts w:hint="eastAsia" w:cs="Times New Roman"/>
          <w:szCs w:val="21"/>
          <w:highlight w:val="none"/>
          <w:lang w:val="en-US" w:eastAsia="zh-CN"/>
        </w:rPr>
        <w:t>本竞赛指导手册最终解释权归</w:t>
      </w:r>
      <w:r>
        <w:rPr>
          <w:rFonts w:hint="eastAsia" w:cs="Times New Roman"/>
          <w:szCs w:val="21"/>
          <w:highlight w:val="none"/>
          <w:lang w:eastAsia="zh-CN"/>
        </w:rPr>
        <w:t>“</w:t>
      </w:r>
      <w:r>
        <w:rPr>
          <w:rFonts w:hint="eastAsia" w:ascii="Times New Roman" w:hAnsi="Times New Roman" w:cs="Times New Roman"/>
          <w:szCs w:val="21"/>
          <w:highlight w:val="none"/>
        </w:rPr>
        <w:t>环科赛</w:t>
      </w:r>
      <w:r>
        <w:rPr>
          <w:rFonts w:hint="eastAsia" w:cs="Times New Roman"/>
          <w:szCs w:val="21"/>
          <w:highlight w:val="none"/>
          <w:lang w:eastAsia="zh-CN"/>
        </w:rPr>
        <w:t>”</w:t>
      </w:r>
      <w:r>
        <w:rPr>
          <w:rFonts w:hint="eastAsia" w:ascii="Times New Roman" w:hAnsi="Times New Roman" w:cs="Times New Roman"/>
          <w:szCs w:val="21"/>
          <w:highlight w:val="none"/>
        </w:rPr>
        <w:t>执行委员会</w:t>
      </w:r>
      <w:r>
        <w:rPr>
          <w:rFonts w:hint="eastAsia" w:cs="Times New Roman"/>
          <w:szCs w:val="21"/>
          <w:highlight w:val="none"/>
          <w:lang w:val="en-US" w:eastAsia="zh-CN"/>
        </w:rPr>
        <w:t>所有</w:t>
      </w:r>
      <w:r>
        <w:rPr>
          <w:rFonts w:hint="eastAsia" w:ascii="Times New Roman" w:hAnsi="Times New Roman" w:cs="Times New Roman"/>
          <w:szCs w:val="21"/>
          <w:highlight w:val="none"/>
        </w:rPr>
        <w:t>。</w:t>
      </w:r>
      <w:r>
        <w:rPr>
          <w:rFonts w:hint="eastAsia" w:cs="Times New Roman"/>
          <w:szCs w:val="21"/>
          <w:highlight w:val="none"/>
          <w:lang w:val="en-US" w:eastAsia="zh-CN"/>
        </w:rPr>
        <w:t>本竞赛指导手册</w:t>
      </w:r>
      <w:r>
        <w:rPr>
          <w:rFonts w:hint="eastAsia" w:ascii="Times New Roman" w:hAnsi="Times New Roman" w:cs="Times New Roman"/>
          <w:szCs w:val="21"/>
          <w:highlight w:val="none"/>
        </w:rPr>
        <w:t>自</w:t>
      </w:r>
      <w:r>
        <w:rPr>
          <w:rFonts w:hint="eastAsia" w:cs="Times New Roman"/>
          <w:szCs w:val="21"/>
          <w:highlight w:val="none"/>
          <w:lang w:eastAsia="zh-CN"/>
        </w:rPr>
        <w:t>2026</w:t>
      </w:r>
      <w:r>
        <w:rPr>
          <w:rFonts w:hint="eastAsia" w:ascii="Times New Roman" w:hAnsi="Times New Roman" w:cs="Times New Roman"/>
          <w:szCs w:val="21"/>
          <w:highlight w:val="none"/>
        </w:rPr>
        <w:t>年</w:t>
      </w:r>
      <w:r>
        <w:rPr>
          <w:rFonts w:hint="eastAsia" w:cs="Times New Roman"/>
          <w:szCs w:val="21"/>
          <w:highlight w:val="none"/>
          <w:lang w:val="en-US" w:eastAsia="zh-CN"/>
        </w:rPr>
        <w:t>3</w:t>
      </w:r>
      <w:r>
        <w:rPr>
          <w:rFonts w:hint="eastAsia" w:ascii="Times New Roman" w:hAnsi="Times New Roman" w:cs="Times New Roman"/>
          <w:szCs w:val="21"/>
          <w:highlight w:val="none"/>
        </w:rPr>
        <w:t>月起施行，以往有关“环科赛”规定与</w:t>
      </w:r>
      <w:r>
        <w:rPr>
          <w:rFonts w:hint="eastAsia" w:cs="Times New Roman"/>
          <w:szCs w:val="21"/>
          <w:highlight w:val="none"/>
          <w:lang w:val="en-US" w:eastAsia="zh-CN"/>
        </w:rPr>
        <w:t>本竞赛指导手册</w:t>
      </w:r>
      <w:r>
        <w:rPr>
          <w:rFonts w:hint="eastAsia" w:ascii="Times New Roman" w:hAnsi="Times New Roman" w:cs="Times New Roman"/>
          <w:szCs w:val="21"/>
          <w:highlight w:val="none"/>
        </w:rPr>
        <w:t>不一致之处，以</w:t>
      </w:r>
      <w:r>
        <w:rPr>
          <w:rFonts w:hint="eastAsia" w:cs="Times New Roman"/>
          <w:szCs w:val="21"/>
          <w:highlight w:val="none"/>
          <w:lang w:val="en-US" w:eastAsia="zh-CN"/>
        </w:rPr>
        <w:t>本竞赛指导手册</w:t>
      </w:r>
      <w:r>
        <w:rPr>
          <w:rFonts w:hint="eastAsia" w:ascii="Times New Roman" w:hAnsi="Times New Roman" w:cs="Times New Roman"/>
          <w:szCs w:val="21"/>
          <w:highlight w:val="none"/>
        </w:rPr>
        <w:t>为准。</w:t>
      </w:r>
    </w:p>
    <w:p w14:paraId="12D2045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highlight w:val="none"/>
        </w:rPr>
      </w:pPr>
      <w:r>
        <w:rPr>
          <w:rFonts w:hint="eastAsia" w:cs="Times New Roman"/>
          <w:szCs w:val="21"/>
          <w:highlight w:val="none"/>
          <w:lang w:val="en-US" w:eastAsia="zh-CN"/>
        </w:rPr>
        <w:t>全国</w:t>
      </w:r>
      <w:r>
        <w:rPr>
          <w:rFonts w:hint="eastAsia" w:ascii="Times New Roman" w:hAnsi="Times New Roman" w:cs="Times New Roman"/>
          <w:szCs w:val="21"/>
          <w:highlight w:val="none"/>
        </w:rPr>
        <w:t>环境友好科技竞赛</w:t>
      </w:r>
    </w:p>
    <w:p w14:paraId="61D5335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highlight w:val="none"/>
        </w:rPr>
      </w:pPr>
      <w:r>
        <w:rPr>
          <w:rFonts w:hint="eastAsia" w:cs="Times New Roman"/>
          <w:szCs w:val="21"/>
          <w:highlight w:val="none"/>
          <w:lang w:eastAsia="zh-CN"/>
        </w:rPr>
        <w:t>2026</w:t>
      </w:r>
      <w:r>
        <w:rPr>
          <w:rFonts w:hint="eastAsia" w:ascii="Times New Roman" w:hAnsi="Times New Roman" w:cs="Times New Roman"/>
          <w:szCs w:val="21"/>
          <w:highlight w:val="none"/>
        </w:rPr>
        <w:t>年</w:t>
      </w:r>
      <w:r>
        <w:rPr>
          <w:rFonts w:hint="eastAsia" w:cs="Times New Roman"/>
          <w:szCs w:val="21"/>
          <w:highlight w:val="none"/>
          <w:lang w:val="en-US" w:eastAsia="zh-CN"/>
        </w:rPr>
        <w:t>3</w:t>
      </w:r>
      <w:r>
        <w:rPr>
          <w:rFonts w:hint="eastAsia" w:ascii="Times New Roman" w:hAnsi="Times New Roman" w:cs="Times New Roman"/>
          <w:szCs w:val="21"/>
          <w:highlight w:val="none"/>
        </w:rPr>
        <w:t xml:space="preserve">月   </w:t>
      </w:r>
    </w:p>
    <w:p w14:paraId="6B01FD9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highlight w:val="none"/>
        </w:rPr>
        <w:sectPr>
          <w:footerReference r:id="rId7" w:type="default"/>
          <w:footerReference r:id="rId8"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2A2A3E89">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eastAsia="黑体"/>
          <w:b w:val="0"/>
          <w:bCs w:val="0"/>
          <w:sz w:val="24"/>
          <w:szCs w:val="24"/>
          <w:highlight w:val="none"/>
        </w:rPr>
      </w:pPr>
      <w:bookmarkStart w:id="11" w:name="_Toc7854"/>
      <w:bookmarkStart w:id="12" w:name="_Toc133220897"/>
      <w:bookmarkStart w:id="13" w:name="_Toc133226247"/>
      <w:bookmarkStart w:id="14" w:name="_Toc507704082"/>
      <w:bookmarkStart w:id="15" w:name="_Toc133224597"/>
      <w:r>
        <w:rPr>
          <w:rFonts w:eastAsia="黑体"/>
          <w:b w:val="0"/>
          <w:bCs w:val="0"/>
          <w:sz w:val="24"/>
          <w:szCs w:val="24"/>
          <w:highlight w:val="none"/>
        </w:rPr>
        <w:t>竞赛组织</w:t>
      </w:r>
      <w:bookmarkEnd w:id="11"/>
      <w:bookmarkEnd w:id="12"/>
      <w:bookmarkEnd w:id="13"/>
      <w:bookmarkEnd w:id="14"/>
      <w:bookmarkEnd w:id="15"/>
    </w:p>
    <w:p w14:paraId="7CA2A360">
      <w:pPr>
        <w:pStyle w:val="4"/>
        <w:numPr>
          <w:ilvl w:val="0"/>
          <w:numId w:val="0"/>
        </w:numPr>
        <w:autoSpaceDE w:val="0"/>
        <w:adjustRightInd w:val="0"/>
        <w:snapToGrid w:val="0"/>
        <w:spacing w:before="120" w:after="120" w:line="240" w:lineRule="auto"/>
        <w:ind w:leftChars="0"/>
        <w:outlineLvl w:val="1"/>
        <w:rPr>
          <w:rFonts w:ascii="Times New Roman" w:hAnsi="Times New Roman" w:eastAsia="宋体"/>
          <w:sz w:val="21"/>
          <w:szCs w:val="21"/>
          <w:highlight w:val="none"/>
        </w:rPr>
      </w:pPr>
      <w:bookmarkStart w:id="16" w:name="_Toc133226248"/>
      <w:bookmarkStart w:id="17" w:name="_Toc507704083"/>
      <w:bookmarkStart w:id="18" w:name="_Toc133224598"/>
      <w:bookmarkStart w:id="19" w:name="_Toc26732"/>
      <w:bookmarkStart w:id="20" w:name="_Toc133220898"/>
      <w:r>
        <w:rPr>
          <w:rFonts w:hint="eastAsia" w:ascii="Times New Roman" w:hAnsi="Times New Roman" w:eastAsia="宋体"/>
          <w:sz w:val="21"/>
          <w:szCs w:val="21"/>
          <w:highlight w:val="none"/>
          <w:lang w:val="en-US" w:eastAsia="zh-CN"/>
        </w:rPr>
        <w:t xml:space="preserve">2.1 </w:t>
      </w:r>
      <w:r>
        <w:rPr>
          <w:rFonts w:ascii="Times New Roman" w:hAnsi="Times New Roman" w:eastAsia="宋体"/>
          <w:sz w:val="21"/>
          <w:szCs w:val="21"/>
          <w:highlight w:val="none"/>
        </w:rPr>
        <w:t>竞赛主办单位</w:t>
      </w:r>
      <w:bookmarkEnd w:id="16"/>
      <w:bookmarkEnd w:id="17"/>
      <w:bookmarkEnd w:id="18"/>
      <w:bookmarkEnd w:id="19"/>
      <w:bookmarkEnd w:id="20"/>
    </w:p>
    <w:p w14:paraId="6A40715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 xml:space="preserve">清华大学 </w:t>
      </w:r>
    </w:p>
    <w:p w14:paraId="178EA2F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 xml:space="preserve">中国环境科学学会 </w:t>
      </w:r>
    </w:p>
    <w:p w14:paraId="50993ECC">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同济大学</w:t>
      </w:r>
    </w:p>
    <w:p w14:paraId="1D76929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西安建筑科技大学</w:t>
      </w:r>
    </w:p>
    <w:p w14:paraId="78B010DC">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highlight w:val="none"/>
          <w:lang w:val="en-US" w:eastAsia="zh-CN"/>
        </w:rPr>
      </w:pPr>
      <w:bookmarkStart w:id="21" w:name="_Toc133226252"/>
      <w:bookmarkStart w:id="22" w:name="_Toc133220902"/>
      <w:bookmarkStart w:id="23" w:name="_Toc507704087"/>
      <w:bookmarkStart w:id="24" w:name="_Toc133224602"/>
      <w:bookmarkStart w:id="25" w:name="_Toc15982"/>
      <w:r>
        <w:rPr>
          <w:rFonts w:hint="eastAsia" w:ascii="Times New Roman" w:hAnsi="Times New Roman" w:eastAsia="宋体"/>
          <w:sz w:val="21"/>
          <w:szCs w:val="21"/>
          <w:highlight w:val="none"/>
          <w:lang w:val="en-US" w:eastAsia="zh-CN"/>
        </w:rPr>
        <w:t>2.2 竞赛承办单位</w:t>
      </w:r>
      <w:bookmarkEnd w:id="21"/>
      <w:bookmarkEnd w:id="22"/>
      <w:bookmarkEnd w:id="23"/>
      <w:bookmarkEnd w:id="24"/>
      <w:bookmarkEnd w:id="25"/>
    </w:p>
    <w:p w14:paraId="0EAF08EC">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rPr>
        <w:t>清华大学环境学院</w:t>
      </w:r>
    </w:p>
    <w:p w14:paraId="373B7AA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西安建筑科技大学环境与市政工程学院</w:t>
      </w:r>
    </w:p>
    <w:p w14:paraId="47C0B65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同济大学环境科学与工程学院</w:t>
      </w:r>
    </w:p>
    <w:p w14:paraId="6DAB0D2D">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highlight w:val="none"/>
          <w:lang w:val="en-US" w:eastAsia="zh-CN"/>
        </w:rPr>
      </w:pPr>
      <w:bookmarkStart w:id="26" w:name="_Toc13476"/>
      <w:r>
        <w:rPr>
          <w:rFonts w:hint="eastAsia" w:ascii="Times New Roman" w:hAnsi="Times New Roman" w:eastAsia="宋体"/>
          <w:sz w:val="21"/>
          <w:szCs w:val="21"/>
          <w:highlight w:val="none"/>
          <w:lang w:val="en-US" w:eastAsia="zh-CN"/>
        </w:rPr>
        <w:t>2.3 竞赛协办单位</w:t>
      </w:r>
      <w:bookmarkEnd w:id="26"/>
    </w:p>
    <w:p w14:paraId="486DBEC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清华苏州环境创新研究院</w:t>
      </w:r>
    </w:p>
    <w:p w14:paraId="00FEE63D">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清华</w:t>
      </w:r>
      <w:r>
        <w:rPr>
          <w:rFonts w:hint="eastAsia" w:cs="Times New Roman"/>
          <w:szCs w:val="21"/>
          <w:highlight w:val="none"/>
          <w:lang w:val="en-US" w:eastAsia="zh-CN"/>
        </w:rPr>
        <w:t>X</w:t>
      </w:r>
      <w:r>
        <w:rPr>
          <w:rFonts w:hint="eastAsia" w:ascii="Times New Roman" w:hAnsi="Times New Roman" w:cs="Times New Roman"/>
          <w:szCs w:val="21"/>
          <w:highlight w:val="none"/>
        </w:rPr>
        <w:t>-lab</w:t>
      </w:r>
    </w:p>
    <w:p w14:paraId="27A399B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大连理工大学</w:t>
      </w:r>
    </w:p>
    <w:p w14:paraId="16BAF21D">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复旦大学</w:t>
      </w:r>
    </w:p>
    <w:p w14:paraId="3C464AF9">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华东师范大学</w:t>
      </w:r>
    </w:p>
    <w:p w14:paraId="2693A497">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华中科技大学</w:t>
      </w:r>
    </w:p>
    <w:p w14:paraId="1425C072">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吉林大学</w:t>
      </w:r>
    </w:p>
    <w:p w14:paraId="3258D62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南开大学</w:t>
      </w:r>
    </w:p>
    <w:p w14:paraId="10D78B2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上海交通大学</w:t>
      </w:r>
    </w:p>
    <w:p w14:paraId="5C61D83B">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天津大学</w:t>
      </w:r>
    </w:p>
    <w:p w14:paraId="37DF8EEC">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厦门大学</w:t>
      </w:r>
    </w:p>
    <w:p w14:paraId="0626F2F4">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延安大学</w:t>
      </w:r>
    </w:p>
    <w:p w14:paraId="5C3F92D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浙江大学</w:t>
      </w:r>
    </w:p>
    <w:p w14:paraId="7174A9B4">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中国科学技术大学</w:t>
      </w:r>
    </w:p>
    <w:p w14:paraId="713180C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中山大学</w:t>
      </w:r>
    </w:p>
    <w:p w14:paraId="03C6B56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中国地质大学（武汉）</w:t>
      </w:r>
      <w:bookmarkStart w:id="27" w:name="_Toc133224603"/>
      <w:bookmarkStart w:id="28" w:name="_Toc507704089"/>
      <w:bookmarkStart w:id="29" w:name="_Toc133220903"/>
      <w:bookmarkStart w:id="30" w:name="_Toc133226253"/>
    </w:p>
    <w:p w14:paraId="65B22495">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新疆大学</w:t>
      </w:r>
    </w:p>
    <w:p w14:paraId="76803E4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西藏大学</w:t>
      </w:r>
    </w:p>
    <w:p w14:paraId="39EB2B6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2DBD4B8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1994D9D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1BA7770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63835E4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4150F7F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4AD9AAC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highlight w:val="none"/>
          <w:lang w:val="en-US" w:eastAsia="zh-CN"/>
        </w:rPr>
      </w:pPr>
    </w:p>
    <w:p w14:paraId="3F45820B">
      <w:pPr>
        <w:rPr>
          <w:rFonts w:hint="eastAsia"/>
          <w:highlight w:val="none"/>
        </w:rPr>
      </w:pPr>
    </w:p>
    <w:p w14:paraId="61AC53F3">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eastAsia="黑体"/>
          <w:b w:val="0"/>
          <w:bCs w:val="0"/>
          <w:sz w:val="24"/>
          <w:szCs w:val="24"/>
          <w:highlight w:val="none"/>
        </w:rPr>
      </w:pPr>
      <w:bookmarkStart w:id="31" w:name="_Toc29565"/>
      <w:r>
        <w:rPr>
          <w:rFonts w:hint="eastAsia" w:eastAsia="黑体"/>
          <w:b w:val="0"/>
          <w:bCs w:val="0"/>
          <w:sz w:val="24"/>
          <w:szCs w:val="24"/>
          <w:highlight w:val="none"/>
          <w:lang w:val="en-US" w:eastAsia="zh-CN"/>
        </w:rPr>
        <w:t>竞赛</w:t>
      </w:r>
      <w:r>
        <w:rPr>
          <w:rFonts w:eastAsia="黑体"/>
          <w:b w:val="0"/>
          <w:bCs w:val="0"/>
          <w:sz w:val="24"/>
          <w:szCs w:val="24"/>
          <w:highlight w:val="none"/>
        </w:rPr>
        <w:t>奖项设置</w:t>
      </w:r>
      <w:bookmarkEnd w:id="27"/>
      <w:bookmarkEnd w:id="28"/>
      <w:bookmarkEnd w:id="29"/>
      <w:bookmarkEnd w:id="30"/>
      <w:bookmarkEnd w:id="31"/>
    </w:p>
    <w:p w14:paraId="55D57F98">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highlight w:val="none"/>
          <w:lang w:val="en-US" w:eastAsia="zh-CN"/>
        </w:rPr>
      </w:pPr>
      <w:bookmarkStart w:id="32" w:name="_Toc133220904"/>
      <w:bookmarkStart w:id="33" w:name="_Toc133226254"/>
      <w:bookmarkStart w:id="34" w:name="_Toc133224604"/>
      <w:bookmarkStart w:id="35" w:name="_Toc29685"/>
      <w:bookmarkStart w:id="36" w:name="_Toc507704090"/>
      <w:r>
        <w:rPr>
          <w:rFonts w:hint="eastAsia" w:ascii="Times New Roman" w:hAnsi="Times New Roman" w:eastAsia="宋体"/>
          <w:sz w:val="21"/>
          <w:szCs w:val="21"/>
          <w:highlight w:val="none"/>
          <w:lang w:val="en-US" w:eastAsia="zh-CN"/>
        </w:rPr>
        <w:t xml:space="preserve">3.1 </w:t>
      </w:r>
      <w:bookmarkEnd w:id="32"/>
      <w:bookmarkEnd w:id="33"/>
      <w:bookmarkEnd w:id="34"/>
      <w:r>
        <w:rPr>
          <w:rFonts w:hint="eastAsia" w:ascii="Times New Roman" w:hAnsi="Times New Roman" w:eastAsia="宋体"/>
          <w:sz w:val="21"/>
          <w:szCs w:val="21"/>
          <w:highlight w:val="none"/>
          <w:lang w:val="en-US" w:eastAsia="zh-CN"/>
        </w:rPr>
        <w:t>奖项奖励</w:t>
      </w:r>
      <w:bookmarkEnd w:id="35"/>
      <w:bookmarkEnd w:id="36"/>
    </w:p>
    <w:p w14:paraId="15A086AA">
      <w:pPr>
        <w:spacing w:before="156" w:beforeLines="50" w:line="360" w:lineRule="auto"/>
        <w:ind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第二十一届全国环境友好科技竞赛于终审答辩环节在科技</w:t>
      </w:r>
      <w:r>
        <w:rPr>
          <w:rFonts w:hint="eastAsia" w:ascii="宋体" w:hAnsi="宋体" w:eastAsia="宋体" w:cs="宋体"/>
          <w:sz w:val="21"/>
          <w:szCs w:val="21"/>
          <w:highlight w:val="none"/>
        </w:rPr>
        <w:t>理念类</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科技</w:t>
      </w:r>
      <w:r>
        <w:rPr>
          <w:rFonts w:hint="eastAsia" w:ascii="宋体" w:hAnsi="宋体" w:eastAsia="宋体" w:cs="宋体"/>
          <w:sz w:val="21"/>
          <w:szCs w:val="21"/>
          <w:highlight w:val="none"/>
        </w:rPr>
        <w:t>实物类</w:t>
      </w:r>
      <w:r>
        <w:rPr>
          <w:rFonts w:hint="eastAsia" w:ascii="宋体" w:hAnsi="宋体" w:cs="宋体"/>
          <w:sz w:val="21"/>
          <w:szCs w:val="21"/>
          <w:highlight w:val="none"/>
          <w:lang w:val="en-US" w:eastAsia="zh-CN"/>
        </w:rPr>
        <w:t>和绿色创业类各赛道分别</w:t>
      </w:r>
      <w:r>
        <w:rPr>
          <w:rFonts w:hint="eastAsia" w:ascii="宋体" w:hAnsi="宋体" w:eastAsia="宋体" w:cs="宋体"/>
          <w:sz w:val="21"/>
          <w:szCs w:val="21"/>
          <w:highlight w:val="none"/>
        </w:rPr>
        <w:t>设立</w:t>
      </w:r>
      <w:r>
        <w:rPr>
          <w:rFonts w:hint="eastAsia" w:ascii="宋体" w:hAnsi="宋体" w:cs="宋体"/>
          <w:sz w:val="21"/>
          <w:szCs w:val="21"/>
          <w:highlight w:val="none"/>
          <w:lang w:val="en-US" w:eastAsia="zh-CN"/>
        </w:rPr>
        <w:t>特</w:t>
      </w:r>
      <w:r>
        <w:rPr>
          <w:rFonts w:hint="eastAsia" w:ascii="宋体" w:hAnsi="宋体" w:eastAsia="宋体" w:cs="宋体"/>
          <w:sz w:val="21"/>
          <w:szCs w:val="21"/>
          <w:highlight w:val="none"/>
        </w:rPr>
        <w:t>等奖、</w:t>
      </w:r>
      <w:r>
        <w:rPr>
          <w:rFonts w:hint="eastAsia" w:ascii="宋体" w:hAnsi="宋体" w:cs="宋体"/>
          <w:sz w:val="21"/>
          <w:szCs w:val="21"/>
          <w:highlight w:val="none"/>
          <w:lang w:val="en-US" w:eastAsia="zh-CN"/>
        </w:rPr>
        <w:t>一等奖、</w:t>
      </w:r>
      <w:r>
        <w:rPr>
          <w:rFonts w:hint="eastAsia" w:ascii="宋体" w:hAnsi="宋体" w:eastAsia="宋体" w:cs="宋体"/>
          <w:sz w:val="21"/>
          <w:szCs w:val="21"/>
          <w:highlight w:val="none"/>
        </w:rPr>
        <w:t>二等奖</w:t>
      </w:r>
      <w:r>
        <w:rPr>
          <w:rFonts w:hint="eastAsia" w:ascii="宋体" w:hAnsi="宋体" w:cs="宋体"/>
          <w:sz w:val="21"/>
          <w:szCs w:val="21"/>
          <w:highlight w:val="none"/>
          <w:lang w:val="en-US" w:eastAsia="zh-CN"/>
        </w:rPr>
        <w:t>和</w:t>
      </w:r>
      <w:r>
        <w:rPr>
          <w:rFonts w:hint="eastAsia" w:ascii="宋体" w:hAnsi="宋体" w:eastAsia="宋体" w:cs="宋体"/>
          <w:sz w:val="21"/>
          <w:szCs w:val="21"/>
          <w:highlight w:val="none"/>
        </w:rPr>
        <w:t>三等奖四个等级的奖项</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于</w:t>
      </w:r>
      <w:r>
        <w:rPr>
          <w:rFonts w:hint="eastAsia" w:cs="Times New Roman"/>
          <w:szCs w:val="21"/>
          <w:highlight w:val="none"/>
          <w:lang w:val="en-US" w:eastAsia="zh-CN"/>
        </w:rPr>
        <w:t>作品函评环节在各赛道分别设立</w:t>
      </w:r>
      <w:r>
        <w:rPr>
          <w:rFonts w:hint="eastAsia" w:ascii="宋体" w:hAnsi="宋体" w:eastAsia="宋体" w:cs="宋体"/>
          <w:sz w:val="21"/>
          <w:szCs w:val="21"/>
          <w:highlight w:val="none"/>
        </w:rPr>
        <w:t>赛区一、二、三等奖。</w:t>
      </w:r>
      <w:r>
        <w:rPr>
          <w:rFonts w:hint="eastAsia" w:ascii="宋体" w:hAnsi="宋体" w:cs="宋体"/>
          <w:sz w:val="21"/>
          <w:szCs w:val="21"/>
          <w:highlight w:val="none"/>
          <w:lang w:val="en-US" w:eastAsia="zh-CN"/>
        </w:rPr>
        <w:t>终审答辩环节</w:t>
      </w:r>
      <w:r>
        <w:rPr>
          <w:rFonts w:hint="eastAsia" w:ascii="宋体" w:hAnsi="宋体" w:eastAsia="宋体" w:cs="宋体"/>
          <w:sz w:val="21"/>
          <w:szCs w:val="21"/>
          <w:highlight w:val="none"/>
        </w:rPr>
        <w:t>竞赛</w:t>
      </w:r>
      <w:r>
        <w:rPr>
          <w:rFonts w:hint="eastAsia" w:ascii="宋体" w:hAnsi="宋体" w:cs="宋体"/>
          <w:sz w:val="21"/>
          <w:szCs w:val="21"/>
          <w:highlight w:val="none"/>
          <w:lang w:val="en-US" w:eastAsia="zh-CN"/>
        </w:rPr>
        <w:t>作品</w:t>
      </w:r>
      <w:r>
        <w:rPr>
          <w:rFonts w:hint="eastAsia" w:ascii="宋体" w:hAnsi="宋体" w:eastAsia="宋体" w:cs="宋体"/>
          <w:sz w:val="21"/>
          <w:szCs w:val="21"/>
          <w:highlight w:val="none"/>
        </w:rPr>
        <w:t>获奖</w:t>
      </w:r>
      <w:r>
        <w:rPr>
          <w:rFonts w:hint="eastAsia" w:ascii="宋体" w:hAnsi="宋体" w:cs="宋体"/>
          <w:sz w:val="21"/>
          <w:szCs w:val="21"/>
          <w:highlight w:val="none"/>
          <w:lang w:val="en-US" w:eastAsia="zh-CN"/>
        </w:rPr>
        <w:t>数</w:t>
      </w:r>
      <w:r>
        <w:rPr>
          <w:rFonts w:hint="eastAsia" w:ascii="宋体" w:hAnsi="宋体" w:eastAsia="宋体" w:cs="宋体"/>
          <w:sz w:val="21"/>
          <w:szCs w:val="21"/>
          <w:highlight w:val="none"/>
        </w:rPr>
        <w:t>视当年报名人数与作品质量最终确定</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具体分配见下表</w:t>
      </w:r>
      <w:r>
        <w:rPr>
          <w:rFonts w:hint="eastAsia" w:ascii="宋体" w:hAnsi="宋体" w:eastAsia="宋体" w:cs="宋体"/>
          <w:sz w:val="21"/>
          <w:szCs w:val="21"/>
          <w:highlight w:val="none"/>
        </w:rPr>
        <w:t>。所有获奖选手将获得清华大学（环境学院）颁发的纸质版获奖证书</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无赛事奖金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赛区奖评定无需答辩且不发放奖金。</w:t>
      </w:r>
    </w:p>
    <w:tbl>
      <w:tblPr>
        <w:tblStyle w:val="89"/>
        <w:tblW w:w="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756"/>
        <w:gridCol w:w="766"/>
        <w:gridCol w:w="760"/>
        <w:gridCol w:w="767"/>
      </w:tblGrid>
      <w:tr w14:paraId="5FD3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4" w:type="dxa"/>
            <w:gridSpan w:val="2"/>
            <w:tcBorders>
              <w:top w:val="single" w:color="auto" w:sz="12" w:space="0"/>
              <w:left w:val="nil"/>
              <w:bottom w:val="single" w:color="auto" w:sz="6" w:space="0"/>
              <w:right w:val="nil"/>
            </w:tcBorders>
            <w:vAlign w:val="center"/>
          </w:tcPr>
          <w:p w14:paraId="5BAE9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科技理念类</w:t>
            </w:r>
          </w:p>
        </w:tc>
        <w:tc>
          <w:tcPr>
            <w:tcW w:w="1522" w:type="dxa"/>
            <w:gridSpan w:val="2"/>
            <w:tcBorders>
              <w:top w:val="single" w:color="auto" w:sz="12" w:space="0"/>
              <w:left w:val="nil"/>
              <w:bottom w:val="single" w:color="auto" w:sz="6" w:space="0"/>
              <w:right w:val="nil"/>
            </w:tcBorders>
            <w:vAlign w:val="center"/>
          </w:tcPr>
          <w:p w14:paraId="17DC4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科技实物类</w:t>
            </w:r>
          </w:p>
        </w:tc>
        <w:tc>
          <w:tcPr>
            <w:tcW w:w="1527" w:type="dxa"/>
            <w:gridSpan w:val="2"/>
            <w:tcBorders>
              <w:top w:val="single" w:color="auto" w:sz="12" w:space="0"/>
              <w:left w:val="nil"/>
              <w:bottom w:val="single" w:color="auto" w:sz="6" w:space="0"/>
              <w:right w:val="nil"/>
            </w:tcBorders>
            <w:vAlign w:val="center"/>
          </w:tcPr>
          <w:p w14:paraId="5D4F1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highlight w:val="none"/>
                <w:lang w:val="en-US" w:eastAsia="zh-CN"/>
              </w:rPr>
            </w:pPr>
            <w:r>
              <w:rPr>
                <w:rFonts w:hint="eastAsia" w:ascii="楷体" w:hAnsi="楷体" w:eastAsia="楷体" w:cs="楷体"/>
                <w:b/>
                <w:bCs/>
                <w:sz w:val="21"/>
                <w:szCs w:val="21"/>
                <w:highlight w:val="none"/>
                <w:lang w:val="en-US" w:eastAsia="zh-CN"/>
              </w:rPr>
              <w:t>绿色创业类</w:t>
            </w:r>
          </w:p>
        </w:tc>
      </w:tr>
      <w:tr w14:paraId="6784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single" w:color="auto" w:sz="6" w:space="0"/>
              <w:left w:val="nil"/>
              <w:bottom w:val="single" w:color="auto" w:sz="6" w:space="0"/>
              <w:right w:val="nil"/>
            </w:tcBorders>
            <w:vAlign w:val="center"/>
          </w:tcPr>
          <w:p w14:paraId="36EA16B9">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奖项</w:t>
            </w:r>
          </w:p>
        </w:tc>
        <w:tc>
          <w:tcPr>
            <w:tcW w:w="847" w:type="dxa"/>
            <w:tcBorders>
              <w:top w:val="single" w:color="auto" w:sz="6" w:space="0"/>
              <w:left w:val="nil"/>
              <w:bottom w:val="single" w:color="auto" w:sz="6" w:space="0"/>
              <w:right w:val="nil"/>
            </w:tcBorders>
            <w:vAlign w:val="center"/>
          </w:tcPr>
          <w:p w14:paraId="0D0A73A3">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数量</w:t>
            </w:r>
          </w:p>
        </w:tc>
        <w:tc>
          <w:tcPr>
            <w:tcW w:w="756" w:type="dxa"/>
            <w:tcBorders>
              <w:top w:val="single" w:color="auto" w:sz="6" w:space="0"/>
              <w:left w:val="nil"/>
              <w:bottom w:val="single" w:color="auto" w:sz="6" w:space="0"/>
              <w:right w:val="nil"/>
            </w:tcBorders>
            <w:vAlign w:val="center"/>
          </w:tcPr>
          <w:p w14:paraId="51768EEE">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奖项</w:t>
            </w:r>
          </w:p>
        </w:tc>
        <w:tc>
          <w:tcPr>
            <w:tcW w:w="766" w:type="dxa"/>
            <w:tcBorders>
              <w:top w:val="single" w:color="auto" w:sz="6" w:space="0"/>
              <w:left w:val="nil"/>
              <w:bottom w:val="single" w:color="auto" w:sz="6" w:space="0"/>
              <w:right w:val="nil"/>
            </w:tcBorders>
            <w:vAlign w:val="center"/>
          </w:tcPr>
          <w:p w14:paraId="54FA7287">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数量</w:t>
            </w:r>
          </w:p>
        </w:tc>
        <w:tc>
          <w:tcPr>
            <w:tcW w:w="760" w:type="dxa"/>
            <w:tcBorders>
              <w:top w:val="single" w:color="auto" w:sz="6" w:space="0"/>
              <w:left w:val="nil"/>
              <w:bottom w:val="single" w:color="auto" w:sz="6" w:space="0"/>
              <w:right w:val="nil"/>
            </w:tcBorders>
            <w:vAlign w:val="center"/>
          </w:tcPr>
          <w:p w14:paraId="1E012781">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奖项</w:t>
            </w:r>
          </w:p>
        </w:tc>
        <w:tc>
          <w:tcPr>
            <w:tcW w:w="767" w:type="dxa"/>
            <w:tcBorders>
              <w:top w:val="single" w:color="auto" w:sz="6" w:space="0"/>
              <w:left w:val="nil"/>
              <w:bottom w:val="single" w:color="auto" w:sz="6" w:space="0"/>
              <w:right w:val="nil"/>
            </w:tcBorders>
            <w:vAlign w:val="center"/>
          </w:tcPr>
          <w:p w14:paraId="4B68B0F6">
            <w:pPr>
              <w:spacing w:line="30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rPr>
              <w:t>数量</w:t>
            </w:r>
          </w:p>
        </w:tc>
      </w:tr>
      <w:tr w14:paraId="6DB5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single" w:color="auto" w:sz="6" w:space="0"/>
              <w:left w:val="nil"/>
              <w:bottom w:val="nil"/>
              <w:right w:val="nil"/>
            </w:tcBorders>
            <w:vAlign w:val="center"/>
          </w:tcPr>
          <w:p w14:paraId="0D2D0B14">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特</w:t>
            </w:r>
            <w:r>
              <w:rPr>
                <w:rFonts w:hint="default" w:ascii="Times New Roman" w:hAnsi="Times New Roman" w:cs="Times New Roman"/>
                <w:sz w:val="18"/>
                <w:szCs w:val="18"/>
                <w:highlight w:val="none"/>
              </w:rPr>
              <w:t>等奖</w:t>
            </w:r>
          </w:p>
        </w:tc>
        <w:tc>
          <w:tcPr>
            <w:tcW w:w="847" w:type="dxa"/>
            <w:tcBorders>
              <w:top w:val="single" w:color="auto" w:sz="6" w:space="0"/>
              <w:left w:val="nil"/>
              <w:bottom w:val="nil"/>
              <w:right w:val="nil"/>
            </w:tcBorders>
            <w:vAlign w:val="center"/>
          </w:tcPr>
          <w:p w14:paraId="1F46AB8A">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1-2名</w:t>
            </w:r>
          </w:p>
        </w:tc>
        <w:tc>
          <w:tcPr>
            <w:tcW w:w="756" w:type="dxa"/>
            <w:tcBorders>
              <w:top w:val="single" w:color="auto" w:sz="6" w:space="0"/>
              <w:left w:val="nil"/>
              <w:bottom w:val="nil"/>
              <w:right w:val="nil"/>
            </w:tcBorders>
            <w:vAlign w:val="center"/>
          </w:tcPr>
          <w:p w14:paraId="643DC87F">
            <w:pPr>
              <w:spacing w:line="300" w:lineRule="auto"/>
              <w:jc w:val="center"/>
              <w:rPr>
                <w:rFonts w:hint="default" w:ascii="Times New Roman" w:hAnsi="Times New Roman" w:cs="Times New Roman"/>
                <w:sz w:val="18"/>
                <w:szCs w:val="18"/>
                <w:highlight w:val="none"/>
                <w:lang w:val="en-US" w:eastAsia="zh-CN"/>
              </w:rPr>
            </w:pPr>
            <w:r>
              <w:rPr>
                <w:rFonts w:hint="eastAsia" w:cs="Times New Roman"/>
                <w:sz w:val="18"/>
                <w:szCs w:val="18"/>
                <w:highlight w:val="none"/>
                <w:lang w:val="en-US" w:eastAsia="zh-CN"/>
              </w:rPr>
              <w:t>特</w:t>
            </w:r>
            <w:r>
              <w:rPr>
                <w:rFonts w:hint="default" w:ascii="Times New Roman" w:hAnsi="Times New Roman" w:cs="Times New Roman"/>
                <w:sz w:val="18"/>
                <w:szCs w:val="18"/>
                <w:highlight w:val="none"/>
              </w:rPr>
              <w:t>等奖</w:t>
            </w:r>
          </w:p>
        </w:tc>
        <w:tc>
          <w:tcPr>
            <w:tcW w:w="766" w:type="dxa"/>
            <w:tcBorders>
              <w:top w:val="single" w:color="auto" w:sz="6" w:space="0"/>
              <w:left w:val="nil"/>
              <w:bottom w:val="nil"/>
              <w:right w:val="nil"/>
            </w:tcBorders>
            <w:vAlign w:val="center"/>
          </w:tcPr>
          <w:p w14:paraId="19C6C838">
            <w:pPr>
              <w:spacing w:line="30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1-2</w:t>
            </w:r>
            <w:r>
              <w:rPr>
                <w:rFonts w:hint="eastAsia" w:ascii="Times New Roman" w:hAnsi="Times New Roman" w:cs="Times New Roman"/>
                <w:sz w:val="18"/>
                <w:szCs w:val="18"/>
                <w:highlight w:val="none"/>
              </w:rPr>
              <w:t>名</w:t>
            </w:r>
          </w:p>
        </w:tc>
        <w:tc>
          <w:tcPr>
            <w:tcW w:w="760" w:type="dxa"/>
            <w:tcBorders>
              <w:top w:val="single" w:color="auto" w:sz="6" w:space="0"/>
              <w:left w:val="nil"/>
              <w:bottom w:val="nil"/>
              <w:right w:val="nil"/>
            </w:tcBorders>
            <w:vAlign w:val="center"/>
          </w:tcPr>
          <w:p w14:paraId="5516CA9B">
            <w:pPr>
              <w:spacing w:line="300" w:lineRule="auto"/>
              <w:jc w:val="center"/>
              <w:rPr>
                <w:rFonts w:hint="default" w:ascii="Times New Roman" w:hAnsi="Times New Roman" w:cs="Times New Roman"/>
                <w:sz w:val="18"/>
                <w:szCs w:val="18"/>
                <w:highlight w:val="none"/>
                <w:lang w:val="en-US" w:eastAsia="zh-CN"/>
              </w:rPr>
            </w:pPr>
            <w:r>
              <w:rPr>
                <w:rFonts w:hint="eastAsia" w:cs="Times New Roman"/>
                <w:sz w:val="18"/>
                <w:szCs w:val="18"/>
                <w:highlight w:val="none"/>
                <w:lang w:val="en-US" w:eastAsia="zh-CN"/>
              </w:rPr>
              <w:t>特</w:t>
            </w:r>
            <w:r>
              <w:rPr>
                <w:rFonts w:hint="default" w:ascii="Times New Roman" w:hAnsi="Times New Roman" w:cs="Times New Roman"/>
                <w:sz w:val="18"/>
                <w:szCs w:val="18"/>
                <w:highlight w:val="none"/>
              </w:rPr>
              <w:t>等奖</w:t>
            </w:r>
          </w:p>
        </w:tc>
        <w:tc>
          <w:tcPr>
            <w:tcW w:w="767" w:type="dxa"/>
            <w:tcBorders>
              <w:top w:val="single" w:color="auto" w:sz="6" w:space="0"/>
              <w:left w:val="nil"/>
              <w:bottom w:val="nil"/>
              <w:right w:val="nil"/>
            </w:tcBorders>
            <w:vAlign w:val="center"/>
          </w:tcPr>
          <w:p w14:paraId="7D2D838A">
            <w:pPr>
              <w:spacing w:line="300" w:lineRule="auto"/>
              <w:jc w:val="center"/>
              <w:rPr>
                <w:rFonts w:hint="default" w:ascii="Times New Roman" w:hAnsi="Times New Roman" w:cs="Times New Roman"/>
                <w:sz w:val="18"/>
                <w:szCs w:val="18"/>
                <w:highlight w:val="none"/>
                <w:lang w:val="en-US" w:eastAsia="zh-CN"/>
              </w:rPr>
            </w:pPr>
            <w:r>
              <w:rPr>
                <w:rFonts w:hint="eastAsia" w:cs="Times New Roman"/>
                <w:sz w:val="18"/>
                <w:szCs w:val="18"/>
                <w:highlight w:val="none"/>
                <w:lang w:val="en-US" w:eastAsia="zh-CN"/>
              </w:rPr>
              <w:t>1-2</w:t>
            </w:r>
            <w:r>
              <w:rPr>
                <w:rFonts w:hint="eastAsia" w:ascii="Times New Roman" w:hAnsi="Times New Roman" w:cs="Times New Roman"/>
                <w:sz w:val="18"/>
                <w:szCs w:val="18"/>
                <w:highlight w:val="none"/>
              </w:rPr>
              <w:t>名</w:t>
            </w:r>
          </w:p>
        </w:tc>
      </w:tr>
      <w:tr w14:paraId="4503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nil"/>
              <w:right w:val="nil"/>
            </w:tcBorders>
            <w:vAlign w:val="center"/>
          </w:tcPr>
          <w:p w14:paraId="7FAA9751">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一</w:t>
            </w:r>
            <w:r>
              <w:rPr>
                <w:rFonts w:hint="default" w:ascii="Times New Roman" w:hAnsi="Times New Roman" w:eastAsia="宋体" w:cs="Times New Roman"/>
                <w:kern w:val="2"/>
                <w:sz w:val="18"/>
                <w:szCs w:val="18"/>
                <w:highlight w:val="none"/>
                <w:lang w:val="en-US" w:eastAsia="zh-CN" w:bidi="ar-SA"/>
              </w:rPr>
              <w:t>等奖</w:t>
            </w:r>
          </w:p>
        </w:tc>
        <w:tc>
          <w:tcPr>
            <w:tcW w:w="847" w:type="dxa"/>
            <w:tcBorders>
              <w:top w:val="nil"/>
              <w:left w:val="nil"/>
              <w:bottom w:val="nil"/>
              <w:right w:val="nil"/>
            </w:tcBorders>
            <w:vAlign w:val="center"/>
          </w:tcPr>
          <w:p w14:paraId="56AEC1F6">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2</w:t>
            </w:r>
            <w:r>
              <w:rPr>
                <w:rFonts w:hint="eastAsia" w:ascii="Times New Roman" w:hAnsi="Times New Roman" w:eastAsia="宋体" w:cs="Times New Roman"/>
                <w:kern w:val="2"/>
                <w:sz w:val="18"/>
                <w:szCs w:val="18"/>
                <w:highlight w:val="none"/>
                <w:lang w:val="en-US" w:eastAsia="zh-CN" w:bidi="ar-SA"/>
              </w:rPr>
              <w:t>-3名</w:t>
            </w:r>
          </w:p>
        </w:tc>
        <w:tc>
          <w:tcPr>
            <w:tcW w:w="756" w:type="dxa"/>
            <w:tcBorders>
              <w:top w:val="nil"/>
              <w:left w:val="nil"/>
              <w:bottom w:val="nil"/>
              <w:right w:val="nil"/>
            </w:tcBorders>
            <w:vAlign w:val="center"/>
          </w:tcPr>
          <w:p w14:paraId="70D7B782">
            <w:pPr>
              <w:spacing w:line="300" w:lineRule="auto"/>
              <w:jc w:val="center"/>
              <w:rPr>
                <w:rFonts w:hint="default" w:ascii="Times New Roman" w:hAnsi="Times New Roman" w:cs="Times New Roman"/>
                <w:sz w:val="18"/>
                <w:szCs w:val="18"/>
                <w:highlight w:val="none"/>
                <w:lang w:val="en-US" w:eastAsia="zh-CN"/>
              </w:rPr>
            </w:pPr>
            <w:r>
              <w:rPr>
                <w:rFonts w:hint="eastAsia" w:cs="Times New Roman"/>
                <w:kern w:val="2"/>
                <w:sz w:val="18"/>
                <w:szCs w:val="18"/>
                <w:highlight w:val="none"/>
                <w:lang w:val="en-US" w:eastAsia="zh-CN" w:bidi="ar-SA"/>
              </w:rPr>
              <w:t>一</w:t>
            </w:r>
            <w:r>
              <w:rPr>
                <w:rFonts w:hint="default" w:ascii="Times New Roman" w:hAnsi="Times New Roman" w:eastAsia="宋体" w:cs="Times New Roman"/>
                <w:kern w:val="2"/>
                <w:sz w:val="18"/>
                <w:szCs w:val="18"/>
                <w:highlight w:val="none"/>
                <w:lang w:val="en-US" w:eastAsia="zh-CN" w:bidi="ar-SA"/>
              </w:rPr>
              <w:t>等奖</w:t>
            </w:r>
          </w:p>
        </w:tc>
        <w:tc>
          <w:tcPr>
            <w:tcW w:w="766" w:type="dxa"/>
            <w:tcBorders>
              <w:top w:val="nil"/>
              <w:left w:val="nil"/>
              <w:bottom w:val="nil"/>
              <w:right w:val="nil"/>
            </w:tcBorders>
            <w:vAlign w:val="center"/>
          </w:tcPr>
          <w:p w14:paraId="1A3130F1">
            <w:pPr>
              <w:spacing w:line="30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2</w:t>
            </w:r>
            <w:r>
              <w:rPr>
                <w:rFonts w:hint="eastAsia" w:ascii="Times New Roman" w:hAnsi="Times New Roman" w:cs="Times New Roman"/>
                <w:sz w:val="18"/>
                <w:szCs w:val="18"/>
                <w:highlight w:val="none"/>
              </w:rPr>
              <w:t>-3名</w:t>
            </w:r>
          </w:p>
        </w:tc>
        <w:tc>
          <w:tcPr>
            <w:tcW w:w="760" w:type="dxa"/>
            <w:tcBorders>
              <w:top w:val="nil"/>
              <w:left w:val="nil"/>
              <w:bottom w:val="nil"/>
              <w:right w:val="nil"/>
            </w:tcBorders>
            <w:vAlign w:val="center"/>
          </w:tcPr>
          <w:p w14:paraId="7A549CDA">
            <w:pPr>
              <w:spacing w:line="300" w:lineRule="auto"/>
              <w:jc w:val="center"/>
              <w:rPr>
                <w:rFonts w:hint="default" w:ascii="Times New Roman" w:hAnsi="Times New Roman" w:cs="Times New Roman"/>
                <w:sz w:val="18"/>
                <w:szCs w:val="18"/>
                <w:highlight w:val="none"/>
                <w:lang w:val="en-US" w:eastAsia="zh-CN"/>
              </w:rPr>
            </w:pPr>
            <w:r>
              <w:rPr>
                <w:rFonts w:hint="eastAsia" w:cs="Times New Roman"/>
                <w:kern w:val="2"/>
                <w:sz w:val="18"/>
                <w:szCs w:val="18"/>
                <w:highlight w:val="none"/>
                <w:lang w:val="en-US" w:eastAsia="zh-CN" w:bidi="ar-SA"/>
              </w:rPr>
              <w:t>一</w:t>
            </w:r>
            <w:r>
              <w:rPr>
                <w:rFonts w:hint="default" w:ascii="Times New Roman" w:hAnsi="Times New Roman" w:eastAsia="宋体" w:cs="Times New Roman"/>
                <w:kern w:val="2"/>
                <w:sz w:val="18"/>
                <w:szCs w:val="18"/>
                <w:highlight w:val="none"/>
                <w:lang w:val="en-US" w:eastAsia="zh-CN" w:bidi="ar-SA"/>
              </w:rPr>
              <w:t>等奖</w:t>
            </w:r>
          </w:p>
        </w:tc>
        <w:tc>
          <w:tcPr>
            <w:tcW w:w="767" w:type="dxa"/>
            <w:tcBorders>
              <w:top w:val="nil"/>
              <w:left w:val="nil"/>
              <w:bottom w:val="nil"/>
              <w:right w:val="nil"/>
            </w:tcBorders>
            <w:vAlign w:val="center"/>
          </w:tcPr>
          <w:p w14:paraId="6712F4C6">
            <w:pPr>
              <w:spacing w:line="300" w:lineRule="auto"/>
              <w:jc w:val="center"/>
              <w:rPr>
                <w:rFonts w:hint="default" w:ascii="Times New Roman" w:hAnsi="Times New Roman" w:cs="Times New Roman"/>
                <w:sz w:val="18"/>
                <w:szCs w:val="18"/>
                <w:highlight w:val="none"/>
                <w:lang w:val="en-US" w:eastAsia="zh-CN"/>
              </w:rPr>
            </w:pPr>
            <w:r>
              <w:rPr>
                <w:rFonts w:hint="eastAsia" w:cs="Times New Roman"/>
                <w:sz w:val="18"/>
                <w:szCs w:val="18"/>
                <w:highlight w:val="none"/>
                <w:lang w:val="en-US" w:eastAsia="zh-CN"/>
              </w:rPr>
              <w:t>2-3</w:t>
            </w:r>
            <w:r>
              <w:rPr>
                <w:rFonts w:hint="eastAsia" w:ascii="Times New Roman" w:hAnsi="Times New Roman" w:cs="Times New Roman"/>
                <w:sz w:val="18"/>
                <w:szCs w:val="18"/>
                <w:highlight w:val="none"/>
              </w:rPr>
              <w:t>名</w:t>
            </w:r>
          </w:p>
        </w:tc>
      </w:tr>
      <w:tr w14:paraId="7729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nil"/>
              <w:right w:val="nil"/>
            </w:tcBorders>
            <w:vAlign w:val="center"/>
          </w:tcPr>
          <w:p w14:paraId="7A71B4D9">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二</w:t>
            </w:r>
            <w:r>
              <w:rPr>
                <w:rFonts w:hint="default" w:ascii="Times New Roman" w:hAnsi="Times New Roman" w:eastAsia="宋体" w:cs="Times New Roman"/>
                <w:kern w:val="2"/>
                <w:sz w:val="18"/>
                <w:szCs w:val="18"/>
                <w:highlight w:val="none"/>
                <w:lang w:val="en-US" w:eastAsia="zh-CN" w:bidi="ar-SA"/>
              </w:rPr>
              <w:t>等奖</w:t>
            </w:r>
          </w:p>
        </w:tc>
        <w:tc>
          <w:tcPr>
            <w:tcW w:w="847" w:type="dxa"/>
            <w:tcBorders>
              <w:top w:val="nil"/>
              <w:left w:val="nil"/>
              <w:bottom w:val="nil"/>
              <w:right w:val="nil"/>
            </w:tcBorders>
            <w:vAlign w:val="center"/>
          </w:tcPr>
          <w:p w14:paraId="7BEE06E5">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若</w:t>
            </w:r>
            <w:r>
              <w:rPr>
                <w:rFonts w:hint="eastAsia" w:ascii="Times New Roman" w:hAnsi="Times New Roman" w:eastAsia="宋体" w:cs="Times New Roman"/>
                <w:kern w:val="2"/>
                <w:sz w:val="18"/>
                <w:szCs w:val="18"/>
                <w:highlight w:val="none"/>
                <w:lang w:val="en-US" w:eastAsia="zh-CN" w:bidi="ar-SA"/>
              </w:rPr>
              <w:t>干名</w:t>
            </w:r>
          </w:p>
        </w:tc>
        <w:tc>
          <w:tcPr>
            <w:tcW w:w="756" w:type="dxa"/>
            <w:tcBorders>
              <w:top w:val="nil"/>
              <w:left w:val="nil"/>
              <w:bottom w:val="nil"/>
              <w:right w:val="nil"/>
            </w:tcBorders>
            <w:vAlign w:val="center"/>
          </w:tcPr>
          <w:p w14:paraId="19F63A8D">
            <w:pPr>
              <w:spacing w:line="300" w:lineRule="auto"/>
              <w:jc w:val="center"/>
              <w:rPr>
                <w:rFonts w:hint="default" w:ascii="Times New Roman" w:hAnsi="Times New Roman" w:cs="Times New Roman"/>
                <w:sz w:val="18"/>
                <w:szCs w:val="18"/>
                <w:highlight w:val="none"/>
                <w:lang w:val="en-US" w:eastAsia="zh-CN"/>
              </w:rPr>
            </w:pPr>
            <w:r>
              <w:rPr>
                <w:rFonts w:hint="eastAsia" w:cs="Times New Roman"/>
                <w:kern w:val="2"/>
                <w:sz w:val="18"/>
                <w:szCs w:val="18"/>
                <w:highlight w:val="none"/>
                <w:lang w:val="en-US" w:eastAsia="zh-CN" w:bidi="ar-SA"/>
              </w:rPr>
              <w:t>二</w:t>
            </w:r>
            <w:r>
              <w:rPr>
                <w:rFonts w:hint="default" w:ascii="Times New Roman" w:hAnsi="Times New Roman" w:eastAsia="宋体" w:cs="Times New Roman"/>
                <w:kern w:val="2"/>
                <w:sz w:val="18"/>
                <w:szCs w:val="18"/>
                <w:highlight w:val="none"/>
                <w:lang w:val="en-US" w:eastAsia="zh-CN" w:bidi="ar-SA"/>
              </w:rPr>
              <w:t>等奖</w:t>
            </w:r>
          </w:p>
        </w:tc>
        <w:tc>
          <w:tcPr>
            <w:tcW w:w="766" w:type="dxa"/>
            <w:tcBorders>
              <w:top w:val="nil"/>
              <w:left w:val="nil"/>
              <w:bottom w:val="nil"/>
              <w:right w:val="nil"/>
            </w:tcBorders>
            <w:vAlign w:val="center"/>
          </w:tcPr>
          <w:p w14:paraId="7236913A">
            <w:pPr>
              <w:spacing w:line="300" w:lineRule="auto"/>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rPr>
              <w:t>若干名</w:t>
            </w:r>
          </w:p>
        </w:tc>
        <w:tc>
          <w:tcPr>
            <w:tcW w:w="760" w:type="dxa"/>
            <w:tcBorders>
              <w:top w:val="nil"/>
              <w:left w:val="nil"/>
              <w:bottom w:val="nil"/>
              <w:right w:val="nil"/>
            </w:tcBorders>
            <w:vAlign w:val="center"/>
          </w:tcPr>
          <w:p w14:paraId="6947350E">
            <w:pPr>
              <w:spacing w:line="300" w:lineRule="auto"/>
              <w:jc w:val="center"/>
              <w:rPr>
                <w:rFonts w:hint="default" w:ascii="Times New Roman" w:hAnsi="Times New Roman" w:cs="Times New Roman"/>
                <w:sz w:val="18"/>
                <w:szCs w:val="18"/>
                <w:highlight w:val="none"/>
                <w:lang w:val="en-US" w:eastAsia="zh-CN"/>
              </w:rPr>
            </w:pPr>
            <w:r>
              <w:rPr>
                <w:rFonts w:hint="eastAsia" w:cs="Times New Roman"/>
                <w:kern w:val="2"/>
                <w:sz w:val="18"/>
                <w:szCs w:val="18"/>
                <w:highlight w:val="none"/>
                <w:lang w:val="en-US" w:eastAsia="zh-CN" w:bidi="ar-SA"/>
              </w:rPr>
              <w:t>二</w:t>
            </w:r>
            <w:r>
              <w:rPr>
                <w:rFonts w:hint="default" w:ascii="Times New Roman" w:hAnsi="Times New Roman" w:eastAsia="宋体" w:cs="Times New Roman"/>
                <w:kern w:val="2"/>
                <w:sz w:val="18"/>
                <w:szCs w:val="18"/>
                <w:highlight w:val="none"/>
                <w:lang w:val="en-US" w:eastAsia="zh-CN" w:bidi="ar-SA"/>
              </w:rPr>
              <w:t>等奖</w:t>
            </w:r>
          </w:p>
        </w:tc>
        <w:tc>
          <w:tcPr>
            <w:tcW w:w="767" w:type="dxa"/>
            <w:tcBorders>
              <w:top w:val="nil"/>
              <w:left w:val="nil"/>
              <w:bottom w:val="nil"/>
              <w:right w:val="nil"/>
            </w:tcBorders>
            <w:vAlign w:val="center"/>
          </w:tcPr>
          <w:p w14:paraId="794048C0">
            <w:pPr>
              <w:spacing w:line="300" w:lineRule="auto"/>
              <w:jc w:val="both"/>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rPr>
              <w:t>若干名</w:t>
            </w:r>
          </w:p>
        </w:tc>
      </w:tr>
      <w:tr w14:paraId="17E6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single" w:color="auto" w:sz="12" w:space="0"/>
              <w:right w:val="nil"/>
            </w:tcBorders>
            <w:vAlign w:val="center"/>
          </w:tcPr>
          <w:p w14:paraId="67D4B87A">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三等奖</w:t>
            </w:r>
            <w:r>
              <w:rPr>
                <w:rFonts w:hint="eastAsia" w:ascii="Times New Roman" w:hAnsi="Times New Roman" w:eastAsia="宋体" w:cs="Times New Roman"/>
                <w:kern w:val="2"/>
                <w:sz w:val="18"/>
                <w:szCs w:val="18"/>
                <w:highlight w:val="none"/>
                <w:lang w:val="en-US" w:eastAsia="zh-CN" w:bidi="ar-SA"/>
              </w:rPr>
              <w:t xml:space="preserve"> </w:t>
            </w:r>
          </w:p>
        </w:tc>
        <w:tc>
          <w:tcPr>
            <w:tcW w:w="847" w:type="dxa"/>
            <w:tcBorders>
              <w:top w:val="nil"/>
              <w:left w:val="nil"/>
              <w:bottom w:val="single" w:color="auto" w:sz="12" w:space="0"/>
              <w:right w:val="nil"/>
            </w:tcBorders>
            <w:vAlign w:val="center"/>
          </w:tcPr>
          <w:p w14:paraId="61A8F36E">
            <w:pPr>
              <w:spacing w:line="300" w:lineRule="auto"/>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若干名</w:t>
            </w:r>
          </w:p>
        </w:tc>
        <w:tc>
          <w:tcPr>
            <w:tcW w:w="756" w:type="dxa"/>
            <w:tcBorders>
              <w:top w:val="nil"/>
              <w:left w:val="nil"/>
              <w:bottom w:val="single" w:color="auto" w:sz="12" w:space="0"/>
              <w:right w:val="nil"/>
            </w:tcBorders>
            <w:vAlign w:val="center"/>
          </w:tcPr>
          <w:p w14:paraId="2C56E517">
            <w:pPr>
              <w:spacing w:line="30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三等奖</w:t>
            </w:r>
            <w:r>
              <w:rPr>
                <w:rFonts w:hint="eastAsia" w:ascii="Times New Roman" w:hAnsi="Times New Roman" w:eastAsia="宋体" w:cs="Times New Roman"/>
                <w:kern w:val="2"/>
                <w:sz w:val="18"/>
                <w:szCs w:val="18"/>
                <w:highlight w:val="none"/>
                <w:lang w:val="en-US" w:eastAsia="zh-CN" w:bidi="ar-SA"/>
              </w:rPr>
              <w:t xml:space="preserve"> </w:t>
            </w:r>
          </w:p>
        </w:tc>
        <w:tc>
          <w:tcPr>
            <w:tcW w:w="766" w:type="dxa"/>
            <w:tcBorders>
              <w:top w:val="nil"/>
              <w:left w:val="nil"/>
              <w:bottom w:val="single" w:color="auto" w:sz="12" w:space="0"/>
              <w:right w:val="nil"/>
            </w:tcBorders>
            <w:vAlign w:val="center"/>
          </w:tcPr>
          <w:p w14:paraId="1554238B">
            <w:pPr>
              <w:spacing w:line="300" w:lineRule="auto"/>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rPr>
              <w:t>若干名</w:t>
            </w:r>
          </w:p>
        </w:tc>
        <w:tc>
          <w:tcPr>
            <w:tcW w:w="760" w:type="dxa"/>
            <w:tcBorders>
              <w:top w:val="nil"/>
              <w:left w:val="nil"/>
              <w:bottom w:val="single" w:color="auto" w:sz="12" w:space="0"/>
              <w:right w:val="nil"/>
            </w:tcBorders>
            <w:vAlign w:val="center"/>
          </w:tcPr>
          <w:p w14:paraId="347C13E4">
            <w:pPr>
              <w:spacing w:line="30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三等奖</w:t>
            </w:r>
            <w:r>
              <w:rPr>
                <w:rFonts w:hint="eastAsia" w:ascii="Times New Roman" w:hAnsi="Times New Roman" w:eastAsia="宋体" w:cs="Times New Roman"/>
                <w:kern w:val="2"/>
                <w:sz w:val="18"/>
                <w:szCs w:val="18"/>
                <w:highlight w:val="none"/>
                <w:lang w:val="en-US" w:eastAsia="zh-CN" w:bidi="ar-SA"/>
              </w:rPr>
              <w:t xml:space="preserve"> </w:t>
            </w:r>
          </w:p>
        </w:tc>
        <w:tc>
          <w:tcPr>
            <w:tcW w:w="767" w:type="dxa"/>
            <w:tcBorders>
              <w:top w:val="nil"/>
              <w:left w:val="nil"/>
              <w:bottom w:val="single" w:color="auto" w:sz="12" w:space="0"/>
              <w:right w:val="nil"/>
            </w:tcBorders>
            <w:vAlign w:val="center"/>
          </w:tcPr>
          <w:p w14:paraId="66264BEC">
            <w:pPr>
              <w:spacing w:line="300" w:lineRule="auto"/>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rPr>
              <w:t>若干名</w:t>
            </w:r>
          </w:p>
        </w:tc>
      </w:tr>
    </w:tbl>
    <w:p w14:paraId="48ACDA2D">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highlight w:val="none"/>
          <w:lang w:val="en-US" w:eastAsia="zh-CN"/>
        </w:rPr>
      </w:pPr>
      <w:bookmarkStart w:id="37" w:name="_Toc133226255"/>
      <w:bookmarkStart w:id="38" w:name="_Toc133220905"/>
      <w:bookmarkStart w:id="39" w:name="_Toc133224605"/>
      <w:bookmarkStart w:id="40" w:name="_Toc507704091"/>
      <w:bookmarkStart w:id="41" w:name="_Toc5940"/>
      <w:r>
        <w:rPr>
          <w:rFonts w:hint="eastAsia" w:ascii="Times New Roman" w:hAnsi="Times New Roman" w:eastAsia="宋体"/>
          <w:sz w:val="21"/>
          <w:szCs w:val="21"/>
          <w:highlight w:val="none"/>
          <w:lang w:val="en-US" w:eastAsia="zh-CN"/>
        </w:rPr>
        <w:t>3.2 加分</w:t>
      </w:r>
      <w:bookmarkEnd w:id="37"/>
      <w:bookmarkEnd w:id="38"/>
      <w:bookmarkEnd w:id="39"/>
      <w:r>
        <w:rPr>
          <w:rFonts w:hint="eastAsia" w:ascii="Times New Roman" w:hAnsi="Times New Roman" w:eastAsia="宋体"/>
          <w:sz w:val="21"/>
          <w:szCs w:val="21"/>
          <w:highlight w:val="none"/>
          <w:lang w:val="en-US" w:eastAsia="zh-CN"/>
        </w:rPr>
        <w:t>奖励</w:t>
      </w:r>
      <w:bookmarkEnd w:id="40"/>
      <w:bookmarkEnd w:id="41"/>
    </w:p>
    <w:p w14:paraId="4F810443">
      <w:pPr>
        <w:spacing w:before="156" w:beforeLines="50" w:line="360" w:lineRule="auto"/>
        <w:ind w:firstLine="420" w:firstLineChars="200"/>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对于在本届竞赛获奖的本科生，如果参加清华大学环境学院的免试推荐研究生，可在成绩核算中酌情加0-</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分；对于集体获奖的团队，在执行本规定时将依作者排序确定得分权。具体措施详见相应的管理办法或评分细则。</w:t>
      </w:r>
    </w:p>
    <w:p w14:paraId="1A875689">
      <w:pPr>
        <w:spacing w:before="156" w:beforeLines="50" w:line="360" w:lineRule="auto"/>
        <w:ind w:firstLine="420" w:firstLineChars="200"/>
        <w:jc w:val="left"/>
        <w:rPr>
          <w:rFonts w:hint="default" w:ascii="Times New Roman" w:hAnsi="Times New Roman" w:cs="Times New Roman"/>
          <w:sz w:val="21"/>
          <w:szCs w:val="21"/>
          <w:highlight w:val="none"/>
          <w:lang w:val="en-US" w:eastAsia="zh-CN"/>
        </w:rPr>
      </w:pPr>
    </w:p>
    <w:p w14:paraId="313DD5B0">
      <w:pPr>
        <w:spacing w:before="156" w:beforeLines="50" w:line="360" w:lineRule="auto"/>
        <w:ind w:firstLine="420" w:firstLineChars="200"/>
        <w:jc w:val="left"/>
        <w:rPr>
          <w:rFonts w:hint="default" w:ascii="Times New Roman" w:hAnsi="Times New Roman" w:cs="Times New Roman"/>
          <w:sz w:val="21"/>
          <w:szCs w:val="21"/>
          <w:highlight w:val="none"/>
          <w:lang w:val="en-US" w:eastAsia="zh-CN"/>
        </w:rPr>
      </w:pPr>
    </w:p>
    <w:p w14:paraId="66B519BB">
      <w:pPr>
        <w:spacing w:before="156" w:beforeLines="50" w:line="360" w:lineRule="auto"/>
        <w:ind w:firstLine="420" w:firstLineChars="200"/>
        <w:jc w:val="left"/>
        <w:rPr>
          <w:rFonts w:hint="default" w:ascii="Times New Roman" w:hAnsi="Times New Roman" w:cs="Times New Roman"/>
          <w:sz w:val="21"/>
          <w:szCs w:val="21"/>
          <w:highlight w:val="none"/>
          <w:lang w:val="en-US" w:eastAsia="zh-CN"/>
        </w:rPr>
      </w:pPr>
    </w:p>
    <w:p w14:paraId="25845169">
      <w:pPr>
        <w:spacing w:before="156" w:beforeLines="50" w:line="360" w:lineRule="auto"/>
        <w:jc w:val="left"/>
        <w:rPr>
          <w:rFonts w:hint="default" w:ascii="Times New Roman" w:hAnsi="Times New Roman" w:cs="Times New Roman"/>
          <w:sz w:val="21"/>
          <w:szCs w:val="21"/>
          <w:highlight w:val="none"/>
          <w:lang w:val="en-US" w:eastAsia="zh-CN"/>
        </w:rPr>
      </w:pPr>
    </w:p>
    <w:p w14:paraId="3FF14ABD">
      <w:pPr>
        <w:spacing w:before="156" w:beforeLines="50" w:line="360" w:lineRule="auto"/>
        <w:jc w:val="left"/>
        <w:rPr>
          <w:rFonts w:hint="default" w:ascii="Times New Roman" w:hAnsi="Times New Roman" w:cs="Times New Roman"/>
          <w:sz w:val="21"/>
          <w:szCs w:val="21"/>
          <w:highlight w:val="none"/>
          <w:lang w:val="en-US" w:eastAsia="zh-CN"/>
        </w:rPr>
      </w:pPr>
    </w:p>
    <w:p w14:paraId="40B646A7">
      <w:pPr>
        <w:spacing w:before="156" w:beforeLines="50" w:line="360" w:lineRule="auto"/>
        <w:jc w:val="left"/>
        <w:rPr>
          <w:rFonts w:hint="default" w:ascii="Times New Roman" w:hAnsi="Times New Roman" w:cs="Times New Roman"/>
          <w:sz w:val="21"/>
          <w:szCs w:val="21"/>
          <w:highlight w:val="none"/>
          <w:lang w:val="en-US" w:eastAsia="zh-CN"/>
        </w:rPr>
      </w:pPr>
    </w:p>
    <w:p w14:paraId="65058EFB">
      <w:pPr>
        <w:spacing w:before="156" w:beforeLines="50" w:line="360" w:lineRule="auto"/>
        <w:jc w:val="left"/>
        <w:rPr>
          <w:rFonts w:hint="eastAsia" w:ascii="Times New Roman" w:hAnsi="Times New Roman" w:cs="Times New Roman"/>
          <w:sz w:val="21"/>
          <w:szCs w:val="21"/>
          <w:highlight w:val="none"/>
          <w:lang w:val="en-US" w:eastAsia="zh-CN"/>
        </w:rPr>
      </w:pPr>
    </w:p>
    <w:p w14:paraId="029D4783">
      <w:pPr>
        <w:pStyle w:val="3"/>
        <w:keepNext/>
        <w:keepLines/>
        <w:pageBreakBefore w:val="0"/>
        <w:widowControl w:val="0"/>
        <w:numPr>
          <w:ilvl w:val="0"/>
          <w:numId w:val="0"/>
        </w:numPr>
        <w:kinsoku/>
        <w:wordWrap/>
        <w:overflowPunct/>
        <w:topLinePunct w:val="0"/>
        <w:autoSpaceDE w:val="0"/>
        <w:autoSpaceDN/>
        <w:bidi w:val="0"/>
        <w:adjustRightInd/>
        <w:snapToGrid/>
        <w:spacing w:before="0" w:after="0" w:line="360" w:lineRule="auto"/>
        <w:ind w:leftChars="0"/>
        <w:textAlignment w:val="auto"/>
        <w:outlineLvl w:val="0"/>
        <w:rPr>
          <w:rFonts w:hint="eastAsia" w:eastAsia="黑体"/>
          <w:b w:val="0"/>
          <w:bCs w:val="0"/>
          <w:sz w:val="24"/>
          <w:szCs w:val="24"/>
          <w:highlight w:val="none"/>
          <w:lang w:val="en-US" w:eastAsia="zh-CN"/>
        </w:rPr>
        <w:sectPr>
          <w:pgSz w:w="7371" w:h="10433"/>
          <w:pgMar w:top="1134" w:right="1021" w:bottom="1134" w:left="1021" w:header="851" w:footer="992" w:gutter="0"/>
          <w:pgBorders>
            <w:top w:val="none" w:sz="0" w:space="0"/>
            <w:left w:val="none" w:sz="0" w:space="0"/>
            <w:bottom w:val="none" w:sz="0" w:space="0"/>
            <w:right w:val="none" w:sz="0" w:space="0"/>
          </w:pgBorders>
          <w:cols w:space="720" w:num="1"/>
          <w:docGrid w:type="linesAndChars" w:linePitch="312" w:charSpace="0"/>
        </w:sectPr>
      </w:pPr>
      <w:bookmarkStart w:id="42" w:name="_Toc26867"/>
      <w:bookmarkStart w:id="43" w:name="_Toc507704093"/>
    </w:p>
    <w:p w14:paraId="510F3ABF">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hint="eastAsia" w:eastAsia="黑体"/>
          <w:b w:val="0"/>
          <w:bCs w:val="0"/>
          <w:sz w:val="24"/>
          <w:szCs w:val="24"/>
          <w:highlight w:val="none"/>
          <w:lang w:val="en-US" w:eastAsia="zh-CN"/>
        </w:rPr>
      </w:pPr>
      <w:r>
        <w:rPr>
          <w:rFonts w:hint="eastAsia" w:eastAsia="黑体"/>
          <w:b w:val="0"/>
          <w:bCs w:val="0"/>
          <w:sz w:val="24"/>
          <w:szCs w:val="24"/>
          <w:highlight w:val="none"/>
          <w:lang w:val="en-US" w:eastAsia="zh-CN"/>
        </w:rPr>
        <w:t>竞赛FAQ</w:t>
      </w:r>
      <w:bookmarkEnd w:id="42"/>
      <w:bookmarkEnd w:id="43"/>
    </w:p>
    <w:p w14:paraId="729D9EB0">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bookmarkStart w:id="44" w:name="_Toc133226258"/>
      <w:bookmarkStart w:id="45" w:name="_Toc133220908"/>
      <w:bookmarkStart w:id="46" w:name="_Toc133224608"/>
      <w:bookmarkStart w:id="47" w:name="_Toc507704094"/>
      <w:r>
        <w:rPr>
          <w:rFonts w:hint="eastAsia" w:ascii="Times New Roman" w:hAnsi="Times New Roman" w:eastAsia="宋体"/>
          <w:b/>
          <w:bCs/>
          <w:sz w:val="21"/>
          <w:szCs w:val="21"/>
          <w:highlight w:val="none"/>
          <w:lang w:val="en-US" w:eastAsia="zh-CN"/>
        </w:rPr>
        <w:t>4.1 什么人有资格参加竞赛？</w:t>
      </w:r>
      <w:bookmarkEnd w:id="44"/>
      <w:bookmarkEnd w:id="45"/>
      <w:bookmarkEnd w:id="46"/>
      <w:bookmarkEnd w:id="47"/>
    </w:p>
    <w:p w14:paraId="50A551AB">
      <w:pPr>
        <w:keepNext w:val="0"/>
        <w:keepLines w:val="0"/>
        <w:pageBreakBefore w:val="0"/>
        <w:widowControl w:val="0"/>
        <w:kinsoku/>
        <w:wordWrap/>
        <w:overflowPunct/>
        <w:topLinePunct w:val="0"/>
        <w:autoSpaceDN/>
        <w:bidi w:val="0"/>
        <w:spacing w:line="360" w:lineRule="auto"/>
        <w:ind w:firstLine="420" w:firstLineChars="200"/>
        <w:textAlignment w:val="auto"/>
        <w:outlineLvl w:val="9"/>
        <w:rPr>
          <w:rFonts w:hint="eastAsia"/>
          <w:szCs w:val="21"/>
          <w:highlight w:val="none"/>
          <w:lang w:val="en-US" w:eastAsia="zh-CN"/>
        </w:rPr>
      </w:pPr>
      <w:r>
        <w:rPr>
          <w:rFonts w:hint="eastAsia"/>
          <w:b/>
          <w:bCs/>
          <w:szCs w:val="21"/>
          <w:highlight w:val="none"/>
          <w:lang w:val="en-US" w:eastAsia="zh-CN"/>
        </w:rPr>
        <w:t>理念类、实物类</w:t>
      </w:r>
      <w:r>
        <w:rPr>
          <w:rFonts w:hint="eastAsia"/>
          <w:szCs w:val="21"/>
          <w:highlight w:val="none"/>
          <w:lang w:val="en-US" w:eastAsia="zh-CN"/>
        </w:rPr>
        <w:t>：凡在全国各高校正式注册的学生（含博士生、硕士生、本科生）均可提交作品参赛，参赛者在报名参赛时需要提供有效的学生身份证明。</w:t>
      </w:r>
    </w:p>
    <w:p w14:paraId="1DED55A8">
      <w:pPr>
        <w:keepNext w:val="0"/>
        <w:keepLines w:val="0"/>
        <w:pageBreakBefore w:val="0"/>
        <w:widowControl w:val="0"/>
        <w:kinsoku/>
        <w:wordWrap/>
        <w:overflowPunct/>
        <w:topLinePunct w:val="0"/>
        <w:autoSpaceDN/>
        <w:bidi w:val="0"/>
        <w:spacing w:line="360" w:lineRule="auto"/>
        <w:ind w:firstLine="420" w:firstLineChars="200"/>
        <w:textAlignment w:val="auto"/>
        <w:outlineLvl w:val="9"/>
        <w:rPr>
          <w:rFonts w:hint="eastAsia"/>
          <w:szCs w:val="21"/>
          <w:highlight w:val="none"/>
          <w:lang w:val="en-US" w:eastAsia="zh-CN"/>
        </w:rPr>
      </w:pPr>
      <w:r>
        <w:rPr>
          <w:rFonts w:hint="eastAsia"/>
          <w:b/>
          <w:bCs/>
          <w:szCs w:val="21"/>
          <w:highlight w:val="none"/>
          <w:lang w:val="en-US" w:eastAsia="zh-CN"/>
        </w:rPr>
        <w:t>绿色创业类</w:t>
      </w:r>
      <w:r>
        <w:rPr>
          <w:rFonts w:hint="eastAsia"/>
          <w:szCs w:val="21"/>
          <w:highlight w:val="none"/>
          <w:lang w:val="en-US" w:eastAsia="zh-CN"/>
        </w:rPr>
        <w:t>：需以</w:t>
      </w:r>
      <w:r>
        <w:rPr>
          <w:rFonts w:hint="eastAsia"/>
          <w:b/>
          <w:bCs/>
          <w:szCs w:val="21"/>
          <w:highlight w:val="none"/>
          <w:lang w:val="en-US" w:eastAsia="zh-CN"/>
        </w:rPr>
        <w:t>团队形式</w:t>
      </w:r>
      <w:r>
        <w:rPr>
          <w:rFonts w:hint="eastAsia"/>
          <w:szCs w:val="21"/>
          <w:highlight w:val="none"/>
          <w:lang w:val="en-US" w:eastAsia="zh-CN"/>
        </w:rPr>
        <w:t>报名参加比赛，全部成员为全国各高校正式注册的学生（含博士生、硕士生、本科生）或毕业两年内校友的团队可以报名参加创业类比赛。参赛者在报名参赛时需要提供有效的身份证明。</w:t>
      </w:r>
    </w:p>
    <w:p w14:paraId="2962D6C6">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bookmarkStart w:id="48" w:name="_Toc133224609"/>
      <w:bookmarkStart w:id="49" w:name="_Toc507704095"/>
      <w:bookmarkStart w:id="50" w:name="_Toc133220909"/>
      <w:bookmarkStart w:id="51" w:name="_Toc133226259"/>
      <w:r>
        <w:rPr>
          <w:rFonts w:hint="eastAsia" w:ascii="Times New Roman" w:hAnsi="Times New Roman" w:eastAsia="宋体"/>
          <w:b/>
          <w:bCs/>
          <w:sz w:val="21"/>
          <w:szCs w:val="21"/>
          <w:highlight w:val="none"/>
          <w:lang w:val="en-US" w:eastAsia="zh-CN"/>
        </w:rPr>
        <w:t>4.2 组队方式有什么要求和限制？</w:t>
      </w:r>
      <w:bookmarkEnd w:id="48"/>
      <w:bookmarkEnd w:id="49"/>
      <w:bookmarkEnd w:id="50"/>
      <w:bookmarkEnd w:id="51"/>
    </w:p>
    <w:p w14:paraId="1F49561A">
      <w:pPr>
        <w:keepNext w:val="0"/>
        <w:keepLines w:val="0"/>
        <w:pageBreakBefore w:val="0"/>
        <w:widowControl w:val="0"/>
        <w:kinsoku/>
        <w:wordWrap/>
        <w:overflowPunct/>
        <w:topLinePunct w:val="0"/>
        <w:autoSpaceDN/>
        <w:bidi w:val="0"/>
        <w:spacing w:line="360" w:lineRule="auto"/>
        <w:ind w:firstLine="420" w:firstLineChars="200"/>
        <w:textAlignment w:val="auto"/>
        <w:outlineLvl w:val="9"/>
        <w:rPr>
          <w:szCs w:val="21"/>
          <w:highlight w:val="none"/>
        </w:rPr>
      </w:pPr>
      <w:r>
        <w:rPr>
          <w:rFonts w:hint="eastAsia"/>
          <w:szCs w:val="21"/>
          <w:highlight w:val="none"/>
          <w:lang w:val="en-US" w:eastAsia="zh-CN"/>
        </w:rPr>
        <w:t>本届</w:t>
      </w:r>
      <w:r>
        <w:rPr>
          <w:szCs w:val="21"/>
          <w:highlight w:val="none"/>
        </w:rPr>
        <w:t>竞赛对组队无任何限制和要求。鼓励参赛者利用竞赛</w:t>
      </w:r>
      <w:r>
        <w:rPr>
          <w:rFonts w:hint="eastAsia"/>
          <w:szCs w:val="21"/>
          <w:highlight w:val="none"/>
          <w:lang w:val="en-US" w:eastAsia="zh-CN"/>
        </w:rPr>
        <w:t>各宣讲活动</w:t>
      </w:r>
      <w:r>
        <w:rPr>
          <w:szCs w:val="21"/>
          <w:highlight w:val="none"/>
        </w:rPr>
        <w:t>、网站讨论区等进行跨年级、跨院系和跨学校组队。</w:t>
      </w:r>
    </w:p>
    <w:p w14:paraId="01F9DA02">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bookmarkStart w:id="52" w:name="_Toc133220910"/>
      <w:bookmarkStart w:id="53" w:name="_Toc507704096"/>
      <w:bookmarkStart w:id="54" w:name="_Toc133224610"/>
      <w:bookmarkStart w:id="55" w:name="_Toc133226260"/>
      <w:r>
        <w:rPr>
          <w:rFonts w:hint="eastAsia" w:ascii="Times New Roman" w:hAnsi="Times New Roman" w:eastAsia="宋体"/>
          <w:b/>
          <w:bCs/>
          <w:sz w:val="21"/>
          <w:szCs w:val="21"/>
          <w:highlight w:val="none"/>
          <w:lang w:val="en-US" w:eastAsia="zh-CN"/>
        </w:rPr>
        <w:t>4.3 申报者须承担什么责任？</w:t>
      </w:r>
      <w:bookmarkEnd w:id="52"/>
      <w:bookmarkEnd w:id="53"/>
      <w:bookmarkEnd w:id="54"/>
      <w:bookmarkEnd w:id="55"/>
    </w:p>
    <w:p w14:paraId="78DCC95F">
      <w:pPr>
        <w:keepNext w:val="0"/>
        <w:keepLines w:val="0"/>
        <w:pageBreakBefore w:val="0"/>
        <w:widowControl w:val="0"/>
        <w:kinsoku/>
        <w:wordWrap/>
        <w:overflowPunct/>
        <w:topLinePunct w:val="0"/>
        <w:autoSpaceDN/>
        <w:bidi w:val="0"/>
        <w:spacing w:line="360" w:lineRule="auto"/>
        <w:ind w:firstLine="420" w:firstLineChars="200"/>
        <w:textAlignment w:val="auto"/>
        <w:outlineLvl w:val="9"/>
        <w:rPr>
          <w:rFonts w:hint="eastAsia"/>
          <w:szCs w:val="21"/>
          <w:highlight w:val="none"/>
          <w:lang w:val="en-US" w:eastAsia="zh-CN"/>
        </w:rPr>
      </w:pPr>
      <w:r>
        <w:rPr>
          <w:rFonts w:hint="eastAsia"/>
          <w:szCs w:val="21"/>
          <w:highlight w:val="none"/>
          <w:lang w:val="en-US" w:eastAsia="zh-CN"/>
        </w:rPr>
        <w:t>本竞赛所接受的作品为课外学术科技活动或社会实践活动成果，各参赛队伍需严格遵守国家有关知识产权保护的规定。因选手提交的参赛作品所引发的各类知识产权纠纷，责任均由申报者或团队自负。本竞赛杜绝包括抄袭、买卖作品在内的一切学术不端行为，如有发现，赛事组织委员会将严肃处理，并报执行委员会核准并公示通告。</w:t>
      </w:r>
    </w:p>
    <w:p w14:paraId="4F2C54F7">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bookmarkStart w:id="56" w:name="_Toc133224611"/>
      <w:bookmarkStart w:id="57" w:name="_Toc133220911"/>
      <w:bookmarkStart w:id="58" w:name="_Toc133226261"/>
      <w:bookmarkStart w:id="59" w:name="_Toc507704097"/>
      <w:r>
        <w:rPr>
          <w:rFonts w:hint="eastAsia" w:ascii="Times New Roman" w:hAnsi="Times New Roman" w:eastAsia="宋体"/>
          <w:b/>
          <w:bCs/>
          <w:sz w:val="21"/>
          <w:szCs w:val="21"/>
          <w:highlight w:val="none"/>
          <w:lang w:val="en-US" w:eastAsia="zh-CN"/>
        </w:rPr>
        <w:t xml:space="preserve">4.4 </w:t>
      </w:r>
      <w:bookmarkEnd w:id="56"/>
      <w:bookmarkEnd w:id="57"/>
      <w:bookmarkEnd w:id="58"/>
      <w:r>
        <w:rPr>
          <w:rFonts w:hint="eastAsia" w:ascii="Times New Roman" w:hAnsi="Times New Roman" w:eastAsia="宋体"/>
          <w:b/>
          <w:bCs/>
          <w:sz w:val="21"/>
          <w:szCs w:val="21"/>
          <w:highlight w:val="none"/>
          <w:lang w:val="en-US" w:eastAsia="zh-CN"/>
        </w:rPr>
        <w:t>怎样报名参赛？</w:t>
      </w:r>
      <w:bookmarkEnd w:id="59"/>
      <w:r>
        <w:rPr>
          <w:rFonts w:hint="eastAsia" w:ascii="Times New Roman" w:hAnsi="Times New Roman" w:eastAsia="宋体"/>
          <w:b/>
          <w:bCs/>
          <w:sz w:val="21"/>
          <w:szCs w:val="21"/>
          <w:highlight w:val="none"/>
          <w:lang w:val="en-US" w:eastAsia="zh-CN"/>
        </w:rPr>
        <w:t xml:space="preserve"> </w:t>
      </w:r>
    </w:p>
    <w:p w14:paraId="67CEA288">
      <w:pPr>
        <w:keepNext w:val="0"/>
        <w:keepLines w:val="0"/>
        <w:pageBreakBefore w:val="0"/>
        <w:widowControl w:val="0"/>
        <w:kinsoku/>
        <w:wordWrap/>
        <w:overflowPunct/>
        <w:topLinePunct w:val="0"/>
        <w:autoSpaceDE w:val="0"/>
        <w:autoSpaceDN/>
        <w:bidi w:val="0"/>
        <w:spacing w:line="360" w:lineRule="auto"/>
        <w:ind w:firstLine="420" w:firstLineChars="200"/>
        <w:textAlignment w:val="auto"/>
        <w:outlineLvl w:val="9"/>
        <w:rPr>
          <w:szCs w:val="21"/>
          <w:highlight w:val="none"/>
        </w:rPr>
      </w:pPr>
      <w:bookmarkStart w:id="60" w:name="_Toc133220912"/>
      <w:bookmarkStart w:id="61" w:name="_Toc507704098"/>
      <w:bookmarkStart w:id="62" w:name="_Toc133224612"/>
      <w:bookmarkStart w:id="63" w:name="_Toc133226262"/>
      <w:r>
        <w:rPr>
          <w:b/>
          <w:bCs/>
          <w:szCs w:val="21"/>
          <w:highlight w:val="none"/>
        </w:rPr>
        <w:t>理念类、实物类</w:t>
      </w:r>
      <w:r>
        <w:rPr>
          <w:szCs w:val="21"/>
          <w:highlight w:val="none"/>
        </w:rPr>
        <w:t>：登陆赛氪官网http://www.saikr.com/搜索</w:t>
      </w:r>
      <w:r>
        <w:rPr>
          <w:rFonts w:hint="eastAsia"/>
          <w:szCs w:val="21"/>
          <w:highlight w:val="none"/>
          <w:lang w:eastAsia="zh-CN"/>
        </w:rPr>
        <w:t>“2026</w:t>
      </w:r>
      <w:r>
        <w:rPr>
          <w:rFonts w:hint="eastAsia"/>
          <w:szCs w:val="21"/>
          <w:highlight w:val="none"/>
        </w:rPr>
        <w:t>年</w:t>
      </w:r>
      <w:r>
        <w:rPr>
          <w:rFonts w:hint="eastAsia"/>
          <w:szCs w:val="21"/>
          <w:highlight w:val="none"/>
          <w:lang w:eastAsia="zh-CN"/>
        </w:rPr>
        <w:t>第二十一届</w:t>
      </w:r>
      <w:r>
        <w:rPr>
          <w:rFonts w:hint="eastAsia"/>
          <w:szCs w:val="21"/>
          <w:highlight w:val="none"/>
        </w:rPr>
        <w:t>全国环境友好科技竞赛（理念类、实物类）</w:t>
      </w:r>
      <w:r>
        <w:rPr>
          <w:rFonts w:hint="eastAsia"/>
          <w:szCs w:val="21"/>
          <w:highlight w:val="none"/>
          <w:lang w:eastAsia="zh-CN"/>
        </w:rPr>
        <w:t>”</w:t>
      </w:r>
      <w:r>
        <w:rPr>
          <w:szCs w:val="21"/>
          <w:highlight w:val="none"/>
        </w:rPr>
        <w:t>，进入页面后（</w:t>
      </w:r>
      <w:r>
        <w:rPr>
          <w:rFonts w:hint="eastAsia"/>
          <w:szCs w:val="21"/>
          <w:highlight w:val="none"/>
        </w:rPr>
        <w:t>https://www.saikr.com/vse/hjyh/</w:t>
      </w:r>
      <w:r>
        <w:rPr>
          <w:rFonts w:hint="eastAsia"/>
          <w:szCs w:val="21"/>
          <w:highlight w:val="none"/>
          <w:lang w:eastAsia="zh-CN"/>
        </w:rPr>
        <w:t>2026</w:t>
      </w:r>
      <w:r>
        <w:rPr>
          <w:szCs w:val="21"/>
          <w:highlight w:val="none"/>
        </w:rPr>
        <w:t>）点击</w:t>
      </w:r>
      <w:r>
        <w:rPr>
          <w:rFonts w:hint="eastAsia"/>
          <w:szCs w:val="21"/>
          <w:highlight w:val="none"/>
          <w:lang w:eastAsia="zh-CN"/>
        </w:rPr>
        <w:t>“</w:t>
      </w:r>
      <w:r>
        <w:rPr>
          <w:szCs w:val="21"/>
          <w:highlight w:val="none"/>
        </w:rPr>
        <w:t>立即报名</w:t>
      </w:r>
      <w:r>
        <w:rPr>
          <w:rFonts w:hint="eastAsia"/>
          <w:szCs w:val="21"/>
          <w:highlight w:val="none"/>
          <w:lang w:eastAsia="zh-CN"/>
        </w:rPr>
        <w:t>”</w:t>
      </w:r>
      <w:r>
        <w:rPr>
          <w:szCs w:val="21"/>
          <w:highlight w:val="none"/>
        </w:rPr>
        <w:t>即可。请注意，理念类</w:t>
      </w:r>
      <w:r>
        <w:rPr>
          <w:rFonts w:hint="eastAsia"/>
          <w:szCs w:val="21"/>
          <w:highlight w:val="none"/>
          <w:lang w:val="en-US" w:eastAsia="zh-CN"/>
        </w:rPr>
        <w:t>和</w:t>
      </w:r>
      <w:r>
        <w:rPr>
          <w:szCs w:val="21"/>
          <w:highlight w:val="none"/>
        </w:rPr>
        <w:t>实物类</w:t>
      </w:r>
      <w:r>
        <w:rPr>
          <w:rFonts w:hint="eastAsia"/>
          <w:szCs w:val="21"/>
          <w:highlight w:val="none"/>
          <w:lang w:val="en-US" w:eastAsia="zh-CN"/>
        </w:rPr>
        <w:t>赛道</w:t>
      </w:r>
      <w:r>
        <w:rPr>
          <w:szCs w:val="21"/>
          <w:highlight w:val="none"/>
        </w:rPr>
        <w:t>报名截止日期为</w:t>
      </w:r>
      <w:r>
        <w:rPr>
          <w:rFonts w:hint="eastAsia"/>
          <w:szCs w:val="21"/>
          <w:highlight w:val="none"/>
          <w:lang w:eastAsia="zh-CN"/>
        </w:rPr>
        <w:t>2026</w:t>
      </w:r>
      <w:r>
        <w:rPr>
          <w:szCs w:val="21"/>
          <w:highlight w:val="none"/>
        </w:rPr>
        <w:t>年6月</w:t>
      </w:r>
      <w:r>
        <w:rPr>
          <w:rFonts w:hint="eastAsia"/>
          <w:szCs w:val="21"/>
          <w:highlight w:val="none"/>
          <w:lang w:val="en-US" w:eastAsia="zh-CN"/>
        </w:rPr>
        <w:t>1</w:t>
      </w:r>
      <w:r>
        <w:rPr>
          <w:szCs w:val="21"/>
          <w:highlight w:val="none"/>
        </w:rPr>
        <w:t>日。</w:t>
      </w:r>
    </w:p>
    <w:p w14:paraId="255D70F3">
      <w:pPr>
        <w:keepNext w:val="0"/>
        <w:keepLines w:val="0"/>
        <w:pageBreakBefore w:val="0"/>
        <w:widowControl w:val="0"/>
        <w:kinsoku/>
        <w:wordWrap/>
        <w:overflowPunct/>
        <w:topLinePunct w:val="0"/>
        <w:autoSpaceDE w:val="0"/>
        <w:autoSpaceDN/>
        <w:bidi w:val="0"/>
        <w:spacing w:line="360" w:lineRule="auto"/>
        <w:ind w:firstLine="420" w:firstLineChars="200"/>
        <w:textAlignment w:val="auto"/>
        <w:outlineLvl w:val="9"/>
        <w:rPr>
          <w:szCs w:val="21"/>
          <w:highlight w:val="none"/>
        </w:rPr>
      </w:pPr>
      <w:r>
        <w:rPr>
          <w:b/>
          <w:bCs/>
          <w:szCs w:val="21"/>
          <w:highlight w:val="none"/>
        </w:rPr>
        <w:t>创业类</w:t>
      </w:r>
      <w:r>
        <w:rPr>
          <w:szCs w:val="21"/>
          <w:highlight w:val="none"/>
        </w:rPr>
        <w:t>：登陆赛氪官网http://www.saikr.com/搜索</w:t>
      </w:r>
      <w:r>
        <w:rPr>
          <w:rFonts w:hint="eastAsia"/>
          <w:szCs w:val="21"/>
          <w:highlight w:val="none"/>
          <w:lang w:eastAsia="zh-CN"/>
        </w:rPr>
        <w:t>“2026</w:t>
      </w:r>
      <w:r>
        <w:rPr>
          <w:rFonts w:hint="eastAsia"/>
          <w:szCs w:val="21"/>
          <w:highlight w:val="none"/>
        </w:rPr>
        <w:t>年</w:t>
      </w:r>
      <w:r>
        <w:rPr>
          <w:rFonts w:hint="eastAsia"/>
          <w:szCs w:val="21"/>
          <w:highlight w:val="none"/>
          <w:lang w:eastAsia="zh-CN"/>
        </w:rPr>
        <w:t>第二十一届</w:t>
      </w:r>
      <w:r>
        <w:rPr>
          <w:rFonts w:hint="eastAsia"/>
          <w:szCs w:val="21"/>
          <w:highlight w:val="none"/>
        </w:rPr>
        <w:t>全国环境友好科技竞赛（绿色</w:t>
      </w:r>
      <w:r>
        <w:rPr>
          <w:szCs w:val="21"/>
          <w:highlight w:val="none"/>
        </w:rPr>
        <w:t>创业</w:t>
      </w:r>
      <w:r>
        <w:rPr>
          <w:rFonts w:hint="eastAsia"/>
          <w:szCs w:val="21"/>
          <w:highlight w:val="none"/>
        </w:rPr>
        <w:t>类）</w:t>
      </w:r>
      <w:r>
        <w:rPr>
          <w:rFonts w:hint="eastAsia"/>
          <w:szCs w:val="21"/>
          <w:highlight w:val="none"/>
          <w:lang w:eastAsia="zh-CN"/>
        </w:rPr>
        <w:t>”</w:t>
      </w:r>
      <w:r>
        <w:rPr>
          <w:szCs w:val="21"/>
          <w:highlight w:val="none"/>
        </w:rPr>
        <w:t>，进入页面后（</w:t>
      </w:r>
      <w:r>
        <w:rPr>
          <w:rFonts w:hint="eastAsia"/>
          <w:szCs w:val="21"/>
          <w:highlight w:val="none"/>
        </w:rPr>
        <w:t>https://www.saikr.com/vse/hjyhlscy/</w:t>
      </w:r>
      <w:r>
        <w:rPr>
          <w:rFonts w:hint="eastAsia"/>
          <w:szCs w:val="21"/>
          <w:highlight w:val="none"/>
          <w:lang w:eastAsia="zh-CN"/>
        </w:rPr>
        <w:t>2026</w:t>
      </w:r>
      <w:r>
        <w:rPr>
          <w:szCs w:val="21"/>
          <w:highlight w:val="none"/>
        </w:rPr>
        <w:t>）点击</w:t>
      </w:r>
      <w:r>
        <w:rPr>
          <w:rFonts w:hint="eastAsia"/>
          <w:szCs w:val="21"/>
          <w:highlight w:val="none"/>
          <w:lang w:eastAsia="zh-CN"/>
        </w:rPr>
        <w:t>“</w:t>
      </w:r>
      <w:r>
        <w:rPr>
          <w:szCs w:val="21"/>
          <w:highlight w:val="none"/>
        </w:rPr>
        <w:t>立即报名</w:t>
      </w:r>
      <w:r>
        <w:rPr>
          <w:rFonts w:hint="eastAsia"/>
          <w:szCs w:val="21"/>
          <w:highlight w:val="none"/>
          <w:lang w:eastAsia="zh-CN"/>
        </w:rPr>
        <w:t>”</w:t>
      </w:r>
      <w:r>
        <w:rPr>
          <w:szCs w:val="21"/>
          <w:highlight w:val="none"/>
        </w:rPr>
        <w:t>即可。请注意，</w:t>
      </w:r>
      <w:r>
        <w:rPr>
          <w:rFonts w:hint="eastAsia"/>
          <w:szCs w:val="21"/>
          <w:highlight w:val="none"/>
          <w:lang w:val="en-US" w:eastAsia="zh-CN"/>
        </w:rPr>
        <w:t>创业类赛道</w:t>
      </w:r>
      <w:r>
        <w:rPr>
          <w:szCs w:val="21"/>
          <w:highlight w:val="none"/>
        </w:rPr>
        <w:t>报名截止日期为</w:t>
      </w:r>
      <w:r>
        <w:rPr>
          <w:rFonts w:hint="eastAsia"/>
          <w:szCs w:val="21"/>
          <w:highlight w:val="none"/>
          <w:lang w:eastAsia="zh-CN"/>
        </w:rPr>
        <w:t>2026</w:t>
      </w:r>
      <w:r>
        <w:rPr>
          <w:szCs w:val="21"/>
          <w:highlight w:val="none"/>
        </w:rPr>
        <w:t>年6月</w:t>
      </w:r>
      <w:r>
        <w:rPr>
          <w:rFonts w:hint="eastAsia"/>
          <w:szCs w:val="21"/>
          <w:highlight w:val="none"/>
          <w:lang w:val="en-US" w:eastAsia="zh-CN"/>
        </w:rPr>
        <w:t>1</w:t>
      </w:r>
      <w:r>
        <w:rPr>
          <w:szCs w:val="21"/>
          <w:highlight w:val="none"/>
        </w:rPr>
        <w:t xml:space="preserve">日。 </w:t>
      </w:r>
    </w:p>
    <w:p w14:paraId="5D472896">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r>
        <w:rPr>
          <w:rFonts w:hint="eastAsia" w:ascii="Times New Roman" w:hAnsi="Times New Roman" w:eastAsia="宋体"/>
          <w:b/>
          <w:bCs/>
          <w:sz w:val="21"/>
          <w:szCs w:val="21"/>
          <w:highlight w:val="none"/>
          <w:lang w:val="en-US" w:eastAsia="zh-CN"/>
        </w:rPr>
        <w:t>4.5 我如何与竞赛组委会取得联系以获得咨询服务？</w:t>
      </w:r>
      <w:bookmarkEnd w:id="60"/>
      <w:bookmarkEnd w:id="61"/>
      <w:bookmarkEnd w:id="62"/>
      <w:bookmarkEnd w:id="63"/>
    </w:p>
    <w:p w14:paraId="501126CC">
      <w:pPr>
        <w:keepNext w:val="0"/>
        <w:keepLines w:val="0"/>
        <w:pageBreakBefore w:val="0"/>
        <w:widowControl w:val="0"/>
        <w:kinsoku/>
        <w:wordWrap/>
        <w:overflowPunct/>
        <w:topLinePunct w:val="0"/>
        <w:autoSpaceDE w:val="0"/>
        <w:autoSpaceDN/>
        <w:bidi w:val="0"/>
        <w:spacing w:line="360" w:lineRule="auto"/>
        <w:ind w:firstLine="420" w:firstLineChars="200"/>
        <w:textAlignment w:val="auto"/>
        <w:outlineLvl w:val="9"/>
        <w:rPr>
          <w:szCs w:val="21"/>
          <w:highlight w:val="none"/>
        </w:rPr>
      </w:pPr>
      <w:r>
        <w:rPr>
          <w:color w:val="000000" w:themeColor="text1"/>
          <w:szCs w:val="21"/>
          <w:highlight w:val="none"/>
          <w14:textFill>
            <w14:solidFill>
              <w14:schemeClr w14:val="tx1"/>
            </w14:solidFill>
          </w14:textFill>
        </w:rPr>
        <w:t>参赛者若遇到问题，可以给竞赛组委会</w:t>
      </w:r>
      <w:r>
        <w:rPr>
          <w:rFonts w:hint="eastAsia"/>
          <w:color w:val="000000" w:themeColor="text1"/>
          <w:szCs w:val="21"/>
          <w:highlight w:val="none"/>
          <w:lang w:val="en-US" w:eastAsia="zh-CN"/>
          <w14:textFill>
            <w14:solidFill>
              <w14:schemeClr w14:val="tx1"/>
            </w14:solidFill>
          </w14:textFill>
        </w:rPr>
        <w:t>发邮件进行</w:t>
      </w:r>
      <w:r>
        <w:rPr>
          <w:color w:val="000000" w:themeColor="text1"/>
          <w:szCs w:val="21"/>
          <w:highlight w:val="none"/>
          <w14:textFill>
            <w14:solidFill>
              <w14:schemeClr w14:val="tx1"/>
            </w14:solidFill>
          </w14:textFill>
        </w:rPr>
        <w:t>联系，</w:t>
      </w:r>
      <w:r>
        <w:rPr>
          <w:rFonts w:hint="eastAsia"/>
          <w:color w:val="000000" w:themeColor="text1"/>
          <w:szCs w:val="21"/>
          <w:highlight w:val="none"/>
          <w14:textFill>
            <w14:solidFill>
              <w14:schemeClr w14:val="tx1"/>
            </w14:solidFill>
          </w14:textFill>
        </w:rPr>
        <w:t>组委会官邮</w:t>
      </w:r>
      <w:r>
        <w:rPr>
          <w:color w:val="000000" w:themeColor="text1"/>
          <w:szCs w:val="21"/>
          <w:highlight w:val="none"/>
          <w14:textFill>
            <w14:solidFill>
              <w14:schemeClr w14:val="tx1"/>
            </w14:solidFill>
          </w14:textFill>
        </w:rPr>
        <w:t>为</w:t>
      </w:r>
      <w:r>
        <w:rPr>
          <w:rFonts w:hint="eastAsia"/>
          <w:color w:val="000000" w:themeColor="text1"/>
          <w:szCs w:val="21"/>
          <w:highlight w:val="none"/>
          <w:lang w:eastAsia="zh-CN"/>
          <w14:textFill>
            <w14:solidFill>
              <w14:schemeClr w14:val="tx1"/>
            </w14:solidFill>
          </w14:textFill>
        </w:rPr>
        <w:t>：</w:t>
      </w:r>
      <w:r>
        <w:rPr>
          <w:rFonts w:ascii="ZWAdobeF" w:hAnsi="ZWAdobeF" w:cs="ZWAdobeF"/>
          <w:color w:val="000000" w:themeColor="text1"/>
          <w:sz w:val="2"/>
          <w:szCs w:val="2"/>
          <w:highlight w:val="none"/>
          <w14:textFill>
            <w14:solidFill>
              <w14:schemeClr w14:val="tx1"/>
            </w14:solidFill>
          </w14:textFill>
        </w:rPr>
        <w:t>H</w:t>
      </w:r>
      <w:bookmarkStart w:id="64" w:name="_Hlt440894622"/>
      <w:r>
        <w:rPr>
          <w:color w:val="000000" w:themeColor="text1"/>
          <w:highlight w:val="none"/>
          <w:u w:val="none"/>
          <w14:textFill>
            <w14:solidFill>
              <w14:schemeClr w14:val="tx1"/>
            </w14:solidFill>
          </w14:textFill>
        </w:rPr>
        <w:fldChar w:fldCharType="begin"/>
      </w:r>
      <w:r>
        <w:rPr>
          <w:color w:val="000000" w:themeColor="text1"/>
          <w:highlight w:val="none"/>
          <w:u w:val="none"/>
          <w14:textFill>
            <w14:solidFill>
              <w14:schemeClr w14:val="tx1"/>
            </w14:solidFill>
          </w14:textFill>
        </w:rPr>
        <w:instrText xml:space="preserve"> HYPERLINK "mailto:hjyh@mail</w:instrText>
      </w:r>
      <w:r>
        <w:rPr>
          <w:rFonts w:hint="eastAsia"/>
          <w:color w:val="000000" w:themeColor="text1"/>
          <w:highlight w:val="none"/>
          <w:u w:val="none"/>
          <w14:textFill>
            <w14:solidFill>
              <w14:schemeClr w14:val="tx1"/>
            </w14:solidFill>
          </w14:textFill>
        </w:rPr>
        <w:instrText xml:space="preserve">.</w:instrText>
      </w:r>
      <w:r>
        <w:rPr>
          <w:color w:val="000000" w:themeColor="text1"/>
          <w:highlight w:val="none"/>
          <w:u w:val="none"/>
          <w14:textFill>
            <w14:solidFill>
              <w14:schemeClr w14:val="tx1"/>
            </w14:solidFill>
          </w14:textFill>
        </w:rPr>
        <w:instrText xml:space="preserve">tsinghua.edu.cn" </w:instrText>
      </w:r>
      <w:r>
        <w:rPr>
          <w:color w:val="000000" w:themeColor="text1"/>
          <w:highlight w:val="none"/>
          <w:u w:val="none"/>
          <w14:textFill>
            <w14:solidFill>
              <w14:schemeClr w14:val="tx1"/>
            </w14:solidFill>
          </w14:textFill>
        </w:rPr>
        <w:fldChar w:fldCharType="separate"/>
      </w:r>
      <w:r>
        <w:rPr>
          <w:rStyle w:val="93"/>
          <w:color w:val="000000" w:themeColor="text1"/>
          <w:highlight w:val="none"/>
          <w:u w:val="none"/>
          <w14:textFill>
            <w14:solidFill>
              <w14:schemeClr w14:val="tx1"/>
            </w14:solidFill>
          </w14:textFill>
        </w:rPr>
        <w:t>hjyh@mail</w:t>
      </w:r>
      <w:r>
        <w:rPr>
          <w:rStyle w:val="93"/>
          <w:rFonts w:hint="eastAsia"/>
          <w:color w:val="000000" w:themeColor="text1"/>
          <w:highlight w:val="none"/>
          <w:u w:val="none"/>
          <w14:textFill>
            <w14:solidFill>
              <w14:schemeClr w14:val="tx1"/>
            </w14:solidFill>
          </w14:textFill>
        </w:rPr>
        <w:t>.</w:t>
      </w:r>
      <w:r>
        <w:rPr>
          <w:rStyle w:val="93"/>
          <w:color w:val="000000" w:themeColor="text1"/>
          <w:highlight w:val="none"/>
          <w:u w:val="none"/>
          <w14:textFill>
            <w14:solidFill>
              <w14:schemeClr w14:val="tx1"/>
            </w14:solidFill>
          </w14:textFill>
        </w:rPr>
        <w:t>tsinghua.edu.cn</w:t>
      </w:r>
      <w:bookmarkEnd w:id="64"/>
      <w:r>
        <w:rPr>
          <w:color w:val="000000" w:themeColor="text1"/>
          <w:highlight w:val="none"/>
          <w:u w:val="none"/>
          <w14:textFill>
            <w14:solidFill>
              <w14:schemeClr w14:val="tx1"/>
            </w14:solidFill>
          </w14:textFill>
        </w:rPr>
        <w:fldChar w:fldCharType="end"/>
      </w:r>
      <w:r>
        <w:rPr>
          <w:rFonts w:ascii="ZWAdobeF" w:hAnsi="ZWAdobeF" w:cs="ZWAdobeF"/>
          <w:color w:val="000000" w:themeColor="text1"/>
          <w:sz w:val="2"/>
          <w:szCs w:val="2"/>
          <w:highlight w:val="none"/>
          <w14:textFill>
            <w14:solidFill>
              <w14:schemeClr w14:val="tx1"/>
            </w14:solidFill>
          </w14:textFill>
        </w:rPr>
        <w:t>H</w:t>
      </w:r>
      <w:r>
        <w:rPr>
          <w:color w:val="000000" w:themeColor="text1"/>
          <w:szCs w:val="21"/>
          <w:highlight w:val="none"/>
          <w14:textFill>
            <w14:solidFill>
              <w14:schemeClr w14:val="tx1"/>
            </w14:solidFill>
          </w14:textFill>
        </w:rPr>
        <w:t>，竞赛组委会将及时予以解答。</w:t>
      </w:r>
      <w:r>
        <w:rPr>
          <w:rFonts w:hint="eastAsia"/>
          <w:szCs w:val="21"/>
          <w:highlight w:val="none"/>
        </w:rPr>
        <w:t>参赛者</w:t>
      </w:r>
      <w:r>
        <w:rPr>
          <w:szCs w:val="21"/>
          <w:highlight w:val="none"/>
        </w:rPr>
        <w:t>还可以在赛氪官网</w:t>
      </w:r>
      <w:r>
        <w:rPr>
          <w:rFonts w:hint="eastAsia"/>
          <w:szCs w:val="21"/>
          <w:highlight w:val="none"/>
          <w:lang w:eastAsia="zh-CN"/>
        </w:rPr>
        <w:t>2026</w:t>
      </w:r>
      <w:r>
        <w:rPr>
          <w:rFonts w:hint="eastAsia"/>
          <w:szCs w:val="21"/>
          <w:highlight w:val="none"/>
        </w:rPr>
        <w:t>年</w:t>
      </w:r>
      <w:r>
        <w:rPr>
          <w:rFonts w:hint="eastAsia"/>
          <w:szCs w:val="21"/>
          <w:highlight w:val="none"/>
          <w:lang w:eastAsia="zh-CN"/>
        </w:rPr>
        <w:t>第二十一届</w:t>
      </w:r>
      <w:r>
        <w:rPr>
          <w:rFonts w:hint="eastAsia"/>
          <w:szCs w:val="21"/>
          <w:highlight w:val="none"/>
        </w:rPr>
        <w:t>全国环境友好科技竞赛报名</w:t>
      </w:r>
      <w:r>
        <w:rPr>
          <w:szCs w:val="21"/>
          <w:highlight w:val="none"/>
        </w:rPr>
        <w:t>主页面中的讨论区进行咨询，</w:t>
      </w:r>
      <w:r>
        <w:rPr>
          <w:rFonts w:hint="eastAsia"/>
          <w:szCs w:val="21"/>
          <w:highlight w:val="none"/>
        </w:rPr>
        <w:t>竞赛组委会都将</w:t>
      </w:r>
      <w:r>
        <w:rPr>
          <w:szCs w:val="21"/>
          <w:highlight w:val="none"/>
        </w:rPr>
        <w:t>及时</w:t>
      </w:r>
      <w:r>
        <w:rPr>
          <w:rFonts w:hint="eastAsia"/>
          <w:szCs w:val="21"/>
          <w:highlight w:val="none"/>
        </w:rPr>
        <w:t>予以解答</w:t>
      </w:r>
      <w:r>
        <w:rPr>
          <w:szCs w:val="21"/>
          <w:highlight w:val="none"/>
        </w:rPr>
        <w:t>。</w:t>
      </w:r>
    </w:p>
    <w:p w14:paraId="45C47F43">
      <w:pPr>
        <w:keepNext w:val="0"/>
        <w:keepLines w:val="0"/>
        <w:pageBreakBefore w:val="0"/>
        <w:widowControl w:val="0"/>
        <w:kinsoku/>
        <w:wordWrap/>
        <w:overflowPunct/>
        <w:topLinePunct w:val="0"/>
        <w:autoSpaceDE w:val="0"/>
        <w:autoSpaceDN/>
        <w:bidi w:val="0"/>
        <w:spacing w:line="360" w:lineRule="auto"/>
        <w:ind w:firstLine="420" w:firstLineChars="200"/>
        <w:textAlignment w:val="auto"/>
        <w:outlineLvl w:val="9"/>
        <w:rPr>
          <w:rFonts w:hint="default" w:eastAsia="宋体"/>
          <w:szCs w:val="21"/>
          <w:highlight w:val="none"/>
          <w:lang w:val="en-US" w:eastAsia="zh-CN"/>
        </w:rPr>
      </w:pPr>
      <w:r>
        <w:rPr>
          <w:rFonts w:hint="eastAsia"/>
          <w:szCs w:val="21"/>
          <w:highlight w:val="none"/>
          <w:lang w:val="en-US" w:eastAsia="zh-CN"/>
        </w:rPr>
        <w:t>本届赛事还建立了报名选手微信交流群（填写问卷留下联系方式后，经审核通过，工作人员会发送对应二维码至邮箱），参赛者还可以在微信交流群中就赛事有关问题进行咨询，</w:t>
      </w:r>
      <w:r>
        <w:rPr>
          <w:rFonts w:hint="eastAsia"/>
          <w:szCs w:val="21"/>
          <w:highlight w:val="none"/>
        </w:rPr>
        <w:t>竞赛组委会都将</w:t>
      </w:r>
      <w:r>
        <w:rPr>
          <w:szCs w:val="21"/>
          <w:highlight w:val="none"/>
        </w:rPr>
        <w:t>及时</w:t>
      </w:r>
      <w:r>
        <w:rPr>
          <w:rFonts w:hint="eastAsia"/>
          <w:szCs w:val="21"/>
          <w:highlight w:val="none"/>
        </w:rPr>
        <w:t>予以解答</w:t>
      </w:r>
      <w:r>
        <w:rPr>
          <w:rFonts w:hint="eastAsia"/>
          <w:szCs w:val="21"/>
          <w:highlight w:val="none"/>
          <w:lang w:val="en-US" w:eastAsia="zh-CN"/>
        </w:rPr>
        <w:t>同时更新发布相关通知和文件</w:t>
      </w:r>
      <w:r>
        <w:rPr>
          <w:szCs w:val="21"/>
          <w:highlight w:val="none"/>
        </w:rPr>
        <w:t>。</w:t>
      </w:r>
    </w:p>
    <w:p w14:paraId="5EFDB6CE">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bookmarkStart w:id="65" w:name="_Toc507704100"/>
      <w:bookmarkStart w:id="66" w:name="_Toc133224614"/>
      <w:bookmarkStart w:id="67" w:name="_Toc133220914"/>
      <w:bookmarkStart w:id="68" w:name="_Toc133226264"/>
      <w:r>
        <w:rPr>
          <w:rFonts w:hint="eastAsia" w:ascii="Times New Roman" w:hAnsi="Times New Roman" w:eastAsia="宋体"/>
          <w:b/>
          <w:bCs/>
          <w:sz w:val="21"/>
          <w:szCs w:val="21"/>
          <w:highlight w:val="none"/>
          <w:lang w:val="en-US" w:eastAsia="zh-CN"/>
        </w:rPr>
        <w:t>4.</w:t>
      </w:r>
      <w:r>
        <w:rPr>
          <w:rFonts w:hint="eastAsia"/>
          <w:b/>
          <w:bCs/>
          <w:sz w:val="21"/>
          <w:szCs w:val="21"/>
          <w:highlight w:val="none"/>
          <w:lang w:val="en-US" w:eastAsia="zh-CN"/>
        </w:rPr>
        <w:t>6</w:t>
      </w:r>
      <w:r>
        <w:rPr>
          <w:rFonts w:hint="eastAsia" w:ascii="Times New Roman" w:hAnsi="Times New Roman" w:eastAsia="宋体"/>
          <w:b/>
          <w:bCs/>
          <w:sz w:val="21"/>
          <w:szCs w:val="21"/>
          <w:highlight w:val="none"/>
          <w:lang w:val="en-US" w:eastAsia="zh-CN"/>
        </w:rPr>
        <w:t xml:space="preserve"> 科技理念类</w:t>
      </w:r>
      <w:r>
        <w:rPr>
          <w:rFonts w:hint="eastAsia"/>
          <w:b/>
          <w:bCs/>
          <w:sz w:val="21"/>
          <w:szCs w:val="21"/>
          <w:highlight w:val="none"/>
          <w:lang w:val="en-US" w:eastAsia="zh-CN"/>
        </w:rPr>
        <w:t>和科技实物类</w:t>
      </w:r>
      <w:r>
        <w:rPr>
          <w:rFonts w:hint="eastAsia" w:ascii="Times New Roman" w:hAnsi="Times New Roman" w:eastAsia="宋体"/>
          <w:b/>
          <w:bCs/>
          <w:sz w:val="21"/>
          <w:szCs w:val="21"/>
          <w:highlight w:val="none"/>
          <w:lang w:val="en-US" w:eastAsia="zh-CN"/>
        </w:rPr>
        <w:t>作品</w:t>
      </w:r>
      <w:r>
        <w:rPr>
          <w:rFonts w:hint="eastAsia"/>
          <w:b/>
          <w:bCs/>
          <w:sz w:val="21"/>
          <w:szCs w:val="21"/>
          <w:highlight w:val="none"/>
          <w:lang w:val="en-US" w:eastAsia="zh-CN"/>
        </w:rPr>
        <w:t>所列作品类别有无更具体的作品主题分类指导，如什么主题作品该归为什么类别</w:t>
      </w:r>
      <w:r>
        <w:rPr>
          <w:rFonts w:hint="eastAsia" w:ascii="Times New Roman" w:hAnsi="Times New Roman" w:eastAsia="宋体"/>
          <w:b/>
          <w:bCs/>
          <w:sz w:val="21"/>
          <w:szCs w:val="21"/>
          <w:highlight w:val="none"/>
          <w:lang w:val="en-US" w:eastAsia="zh-CN"/>
        </w:rPr>
        <w:t>？</w:t>
      </w:r>
    </w:p>
    <w:p w14:paraId="06FFD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szCs w:val="21"/>
          <w:highlight w:val="none"/>
          <w:lang w:val="en-US" w:eastAsia="zh-CN"/>
        </w:rPr>
      </w:pPr>
      <w:r>
        <w:rPr>
          <w:rFonts w:hint="eastAsia"/>
          <w:szCs w:val="21"/>
          <w:highlight w:val="none"/>
        </w:rPr>
        <w:t>科技理念类和科技实物类作品</w:t>
      </w:r>
      <w:r>
        <w:rPr>
          <w:rFonts w:hint="eastAsia"/>
          <w:szCs w:val="21"/>
          <w:highlight w:val="none"/>
          <w:lang w:val="en-US" w:eastAsia="zh-CN"/>
        </w:rPr>
        <w:t>所列作品类别可包含的作品具体主题包括但不限于以下：</w:t>
      </w:r>
    </w:p>
    <w:p w14:paraId="52E3AFD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b/>
          <w:bCs/>
          <w:szCs w:val="21"/>
          <w:highlight w:val="none"/>
          <w:lang w:val="en-US" w:eastAsia="zh-CN"/>
        </w:rPr>
        <w:t>水污染控制与资源化</w:t>
      </w:r>
      <w:r>
        <w:rPr>
          <w:rFonts w:hint="eastAsia"/>
          <w:szCs w:val="21"/>
          <w:highlight w:val="none"/>
          <w:lang w:val="en-US" w:eastAsia="zh-CN"/>
        </w:rPr>
        <w:t>：城市污水与工业废水处理处置工艺；饮用水安全与消毒副产物研究；给水处理理论与技术；地表水污染综合治理；地下水污染综合治理；水环境质量监测方法等。</w:t>
      </w:r>
    </w:p>
    <w:p w14:paraId="43FBEC4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textAlignment w:val="auto"/>
        <w:outlineLvl w:val="9"/>
        <w:rPr>
          <w:rFonts w:hint="default"/>
          <w:szCs w:val="21"/>
          <w:highlight w:val="none"/>
          <w:lang w:val="en-US" w:eastAsia="zh-CN"/>
        </w:rPr>
      </w:pPr>
      <w:r>
        <w:rPr>
          <w:rFonts w:hint="eastAsia"/>
          <w:b/>
          <w:bCs/>
          <w:szCs w:val="21"/>
          <w:highlight w:val="none"/>
          <w:lang w:val="en-US" w:eastAsia="zh-CN"/>
        </w:rPr>
        <w:t>大气污染</w:t>
      </w:r>
      <w:bookmarkStart w:id="81" w:name="_GoBack"/>
      <w:bookmarkEnd w:id="81"/>
      <w:r>
        <w:rPr>
          <w:rFonts w:hint="eastAsia"/>
          <w:b/>
          <w:bCs/>
          <w:szCs w:val="21"/>
          <w:highlight w:val="none"/>
          <w:lang w:val="en-US" w:eastAsia="zh-CN"/>
        </w:rPr>
        <w:t>控制</w:t>
      </w:r>
      <w:r>
        <w:rPr>
          <w:rFonts w:hint="eastAsia"/>
          <w:szCs w:val="21"/>
          <w:highlight w:val="none"/>
          <w:lang w:val="en-US" w:eastAsia="zh-CN"/>
        </w:rPr>
        <w:t>：大气污染控制技术；室内空气污染监测预警技术；大气污染排放清单与来源解析；大气物理与化学过程；空气质量模拟技术等。</w:t>
      </w:r>
    </w:p>
    <w:p w14:paraId="6E0A6C7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0" w:firstLineChars="0"/>
        <w:textAlignment w:val="auto"/>
        <w:outlineLvl w:val="9"/>
        <w:rPr>
          <w:rFonts w:hint="default"/>
          <w:szCs w:val="21"/>
          <w:highlight w:val="none"/>
          <w:lang w:val="en-US" w:eastAsia="zh-CN"/>
        </w:rPr>
      </w:pPr>
      <w:r>
        <w:rPr>
          <w:rFonts w:hint="eastAsia"/>
          <w:b/>
          <w:bCs/>
          <w:szCs w:val="21"/>
          <w:highlight w:val="none"/>
          <w:lang w:val="en-US" w:eastAsia="zh-CN"/>
        </w:rPr>
        <w:t>固体废物控制与资源化</w:t>
      </w:r>
      <w:r>
        <w:rPr>
          <w:rFonts w:hint="eastAsia"/>
          <w:szCs w:val="21"/>
          <w:highlight w:val="none"/>
          <w:lang w:val="en-US" w:eastAsia="zh-CN"/>
        </w:rPr>
        <w:t>：有机固废处理与资源化；无机固废处理与资源化；危险废物安全处置与利用；固废精准识别与智慧管控；城市污泥处理与资源化利用技术；新兴废弃物处理处置技术等。</w:t>
      </w:r>
    </w:p>
    <w:p w14:paraId="3F2C0FE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szCs w:val="21"/>
          <w:highlight w:val="none"/>
          <w:lang w:val="en-US" w:eastAsia="zh-CN"/>
        </w:rPr>
      </w:pPr>
      <w:r>
        <w:rPr>
          <w:rFonts w:hint="eastAsia"/>
          <w:b/>
          <w:bCs/>
          <w:szCs w:val="21"/>
          <w:highlight w:val="none"/>
          <w:lang w:val="en-US" w:eastAsia="zh-CN"/>
        </w:rPr>
        <w:t>环境化学与新污染物</w:t>
      </w:r>
      <w:r>
        <w:rPr>
          <w:rFonts w:hint="eastAsia"/>
          <w:szCs w:val="21"/>
          <w:highlight w:val="none"/>
          <w:lang w:val="en-US" w:eastAsia="zh-CN"/>
        </w:rPr>
        <w:t>：新污染物筛查、风险评估与末端去除；理论环境化学；环境监测与分析；环境材料化学等。</w:t>
      </w:r>
    </w:p>
    <w:p w14:paraId="600B04A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szCs w:val="21"/>
          <w:highlight w:val="none"/>
          <w:lang w:val="en-US" w:eastAsia="zh-CN"/>
        </w:rPr>
      </w:pPr>
      <w:r>
        <w:rPr>
          <w:rFonts w:hint="eastAsia"/>
          <w:b/>
          <w:bCs/>
          <w:szCs w:val="21"/>
          <w:highlight w:val="none"/>
          <w:lang w:val="en-US" w:eastAsia="zh-CN"/>
        </w:rPr>
        <w:t>环境生态学与全球气候变化</w:t>
      </w:r>
      <w:r>
        <w:rPr>
          <w:rFonts w:hint="eastAsia"/>
          <w:szCs w:val="21"/>
          <w:highlight w:val="none"/>
          <w:lang w:val="en-US" w:eastAsia="zh-CN"/>
        </w:rPr>
        <w:t>：土壤环境与生态安全；海洋环境与生态安全；高山和极地环境与生态安全；环境生物学；环境毒理与健康；全球气候变化与生态系统等。</w:t>
      </w:r>
    </w:p>
    <w:p w14:paraId="5F8B7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（6）</w:t>
      </w:r>
      <w:r>
        <w:rPr>
          <w:rFonts w:hint="eastAsia"/>
          <w:b/>
          <w:bCs/>
          <w:szCs w:val="21"/>
          <w:highlight w:val="none"/>
          <w:lang w:val="en-US" w:eastAsia="zh-CN"/>
        </w:rPr>
        <w:t>可持续发展与政策管理</w:t>
      </w:r>
      <w:r>
        <w:rPr>
          <w:rFonts w:hint="eastAsia"/>
          <w:szCs w:val="21"/>
          <w:highlight w:val="none"/>
          <w:lang w:val="en-US" w:eastAsia="zh-CN"/>
        </w:rPr>
        <w:t>：环境系统分析与仿真；环境管理与政策；产业生态学；双碳目标实施路径及策略等。</w:t>
      </w:r>
    </w:p>
    <w:p w14:paraId="1FF0C4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（7）</w:t>
      </w:r>
      <w:r>
        <w:rPr>
          <w:rFonts w:hint="eastAsia"/>
          <w:b/>
          <w:bCs/>
          <w:szCs w:val="21"/>
          <w:highlight w:val="none"/>
          <w:lang w:val="en-US" w:eastAsia="zh-CN"/>
        </w:rPr>
        <w:t>AI+环境与前沿技术</w:t>
      </w:r>
      <w:r>
        <w:rPr>
          <w:rFonts w:hint="eastAsia"/>
          <w:szCs w:val="21"/>
          <w:highlight w:val="none"/>
          <w:lang w:val="en-US" w:eastAsia="zh-CN"/>
        </w:rPr>
        <w:t>：环境人工智能；环境大数据分析；CCUS技术；储能与可再生能源利用技术；颠覆性环境技术等。</w:t>
      </w:r>
    </w:p>
    <w:p w14:paraId="23962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default"/>
          <w:szCs w:val="21"/>
          <w:highlight w:val="none"/>
          <w:lang w:val="en-US" w:eastAsia="zh-CN"/>
        </w:rPr>
      </w:pPr>
      <w:r>
        <w:rPr>
          <w:rFonts w:hint="eastAsia"/>
          <w:szCs w:val="21"/>
          <w:highlight w:val="none"/>
          <w:lang w:val="en-US" w:eastAsia="zh-CN"/>
        </w:rPr>
        <w:t>注意，上述</w:t>
      </w:r>
      <w:r>
        <w:rPr>
          <w:rFonts w:hint="default"/>
          <w:szCs w:val="21"/>
          <w:highlight w:val="none"/>
          <w:lang w:val="en-US" w:eastAsia="zh-CN"/>
        </w:rPr>
        <w:t>各类别作品在线上函评环节将分别独立进行评审并将分数归一化处理，之后合并各类别作品归一化后平均得分确定进入终审答辩环节名单（具体归一化方法见附件2），终审答辩环节各类别作品不区分对待。</w:t>
      </w:r>
    </w:p>
    <w:p w14:paraId="1DECE1D4">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leftChars="0" w:firstLine="0" w:firstLineChars="0"/>
        <w:textAlignment w:val="auto"/>
        <w:outlineLvl w:val="9"/>
        <w:rPr>
          <w:rFonts w:hint="eastAsia" w:ascii="Times New Roman" w:hAnsi="Times New Roman" w:eastAsia="宋体"/>
          <w:b/>
          <w:bCs/>
          <w:sz w:val="21"/>
          <w:szCs w:val="21"/>
          <w:highlight w:val="none"/>
          <w:lang w:val="en-US" w:eastAsia="zh-CN"/>
        </w:rPr>
      </w:pPr>
      <w:r>
        <w:rPr>
          <w:rFonts w:hint="eastAsia" w:ascii="Times New Roman" w:hAnsi="Times New Roman" w:eastAsia="宋体"/>
          <w:b/>
          <w:bCs/>
          <w:sz w:val="21"/>
          <w:szCs w:val="21"/>
          <w:highlight w:val="none"/>
          <w:lang w:val="en-US" w:eastAsia="zh-CN"/>
        </w:rPr>
        <w:t>4.</w:t>
      </w:r>
      <w:r>
        <w:rPr>
          <w:rFonts w:hint="eastAsia"/>
          <w:b/>
          <w:bCs/>
          <w:sz w:val="21"/>
          <w:szCs w:val="21"/>
          <w:highlight w:val="none"/>
          <w:lang w:val="en-US" w:eastAsia="zh-CN"/>
        </w:rPr>
        <w:t>7</w:t>
      </w:r>
      <w:r>
        <w:rPr>
          <w:rFonts w:hint="eastAsia" w:ascii="Times New Roman" w:hAnsi="Times New Roman" w:eastAsia="宋体"/>
          <w:b/>
          <w:bCs/>
          <w:sz w:val="21"/>
          <w:szCs w:val="21"/>
          <w:highlight w:val="none"/>
          <w:lang w:val="en-US" w:eastAsia="zh-CN"/>
        </w:rPr>
        <w:t xml:space="preserve"> </w:t>
      </w:r>
      <w:r>
        <w:rPr>
          <w:rFonts w:hint="eastAsia"/>
          <w:b/>
          <w:bCs/>
          <w:sz w:val="21"/>
          <w:szCs w:val="21"/>
          <w:highlight w:val="none"/>
          <w:lang w:val="en-US" w:eastAsia="zh-CN"/>
        </w:rPr>
        <w:t>绿色创业类</w:t>
      </w:r>
      <w:r>
        <w:rPr>
          <w:rFonts w:hint="eastAsia" w:ascii="Times New Roman" w:hAnsi="Times New Roman" w:eastAsia="宋体"/>
          <w:b/>
          <w:bCs/>
          <w:sz w:val="21"/>
          <w:szCs w:val="21"/>
          <w:highlight w:val="none"/>
          <w:lang w:val="en-US" w:eastAsia="zh-CN"/>
        </w:rPr>
        <w:t>作品</w:t>
      </w:r>
      <w:r>
        <w:rPr>
          <w:rFonts w:hint="eastAsia"/>
          <w:b/>
          <w:bCs/>
          <w:sz w:val="21"/>
          <w:szCs w:val="21"/>
          <w:highlight w:val="none"/>
          <w:lang w:val="en-US" w:eastAsia="zh-CN"/>
        </w:rPr>
        <w:t>所列作品类别有无更具体的作品主题分类指导，如什么主题作品该归为什么类别</w:t>
      </w:r>
      <w:r>
        <w:rPr>
          <w:rFonts w:hint="eastAsia" w:ascii="Times New Roman" w:hAnsi="Times New Roman" w:eastAsia="宋体"/>
          <w:b/>
          <w:bCs/>
          <w:sz w:val="21"/>
          <w:szCs w:val="21"/>
          <w:highlight w:val="none"/>
          <w:lang w:val="en-US" w:eastAsia="zh-CN"/>
        </w:rPr>
        <w:t>？</w:t>
      </w:r>
    </w:p>
    <w:p w14:paraId="667B6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szCs w:val="21"/>
          <w:highlight w:val="none"/>
          <w:lang w:val="en-US" w:eastAsia="zh-CN"/>
        </w:rPr>
      </w:pPr>
      <w:r>
        <w:rPr>
          <w:rFonts w:hint="eastAsia"/>
          <w:szCs w:val="21"/>
          <w:highlight w:val="none"/>
          <w:lang w:val="en-US" w:eastAsia="zh-CN"/>
        </w:rPr>
        <w:t>绿色创业类</w:t>
      </w:r>
      <w:r>
        <w:rPr>
          <w:rFonts w:hint="eastAsia"/>
          <w:szCs w:val="21"/>
          <w:highlight w:val="none"/>
        </w:rPr>
        <w:t>作品</w:t>
      </w:r>
      <w:r>
        <w:rPr>
          <w:rFonts w:hint="eastAsia"/>
          <w:szCs w:val="21"/>
          <w:highlight w:val="none"/>
          <w:lang w:val="en-US" w:eastAsia="zh-CN"/>
        </w:rPr>
        <w:t>所列作品类别可包含的作品具体主题包括但不限于以下：</w:t>
      </w:r>
    </w:p>
    <w:p w14:paraId="3FB6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（1）</w:t>
      </w:r>
      <w:r>
        <w:rPr>
          <w:rFonts w:hint="eastAsia"/>
          <w:b/>
          <w:bCs/>
          <w:szCs w:val="21"/>
          <w:highlight w:val="none"/>
          <w:lang w:val="en-US" w:eastAsia="zh-CN"/>
        </w:rPr>
        <w:t>减污降碳类</w:t>
      </w:r>
      <w:r>
        <w:rPr>
          <w:rFonts w:hint="eastAsia"/>
          <w:szCs w:val="21"/>
          <w:highlight w:val="none"/>
          <w:lang w:val="en-US" w:eastAsia="zh-CN"/>
        </w:rPr>
        <w:t>：鼓励面向减少环境污染排放或协助环境污染治理、控制温室气体排放或助力双碳目标实现，体现科技发明创新且具有一定市场应用前景的产品申报本类别。例如针对垃圾焚烧全流程的烟气治理产品研发；基于双碳目标的油气高效开发技术等。</w:t>
      </w:r>
    </w:p>
    <w:p w14:paraId="6796B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（2）</w:t>
      </w:r>
      <w:r>
        <w:rPr>
          <w:rFonts w:hint="eastAsia"/>
          <w:b/>
          <w:bCs/>
          <w:szCs w:val="21"/>
          <w:highlight w:val="none"/>
          <w:lang w:val="en-US" w:eastAsia="zh-CN"/>
        </w:rPr>
        <w:t>绿色制造类</w:t>
      </w:r>
      <w:r>
        <w:rPr>
          <w:rFonts w:hint="eastAsia"/>
          <w:szCs w:val="21"/>
          <w:highlight w:val="none"/>
          <w:lang w:val="en-US" w:eastAsia="zh-CN"/>
        </w:rPr>
        <w:t>：鼓励面向实际应用场景、服务于资源节约型和环境友好型社会建设、体现科技发明创新且具有一定市场应用前景的相关数字化、信息化和自动化技术产品或系统等申报本类别。例如针对海洋工程构筑物智能清洗机器人；基于计算机集成控制的气体混配系统等。</w:t>
      </w:r>
    </w:p>
    <w:p w14:paraId="53257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（3）</w:t>
      </w:r>
      <w:r>
        <w:rPr>
          <w:rFonts w:hint="eastAsia"/>
          <w:b/>
          <w:bCs/>
          <w:szCs w:val="21"/>
          <w:highlight w:val="none"/>
          <w:lang w:val="en-US" w:eastAsia="zh-CN"/>
        </w:rPr>
        <w:t>生态产业类</w:t>
      </w:r>
      <w:r>
        <w:rPr>
          <w:rFonts w:hint="eastAsia"/>
          <w:szCs w:val="21"/>
          <w:highlight w:val="none"/>
          <w:lang w:val="en-US" w:eastAsia="zh-CN"/>
        </w:rPr>
        <w:t>：鼓励面向环境友好型材料设计或固体废物资源化利用、创造绿色有机产品或服务于生态系统改善、体现科技发明创新且具有一定市场应用前景的相关技术产品或系统等申报本类别。例如利用昆虫处理有机废弃物并开发优质产品等。</w:t>
      </w:r>
      <w:bookmarkEnd w:id="65"/>
      <w:bookmarkEnd w:id="66"/>
      <w:bookmarkEnd w:id="67"/>
      <w:bookmarkEnd w:id="68"/>
      <w:bookmarkStart w:id="69" w:name="_Toc507704102"/>
      <w:bookmarkStart w:id="70" w:name="_Toc133220915"/>
      <w:bookmarkStart w:id="71" w:name="_Toc133226265"/>
      <w:bookmarkStart w:id="72" w:name="_Toc133224615"/>
    </w:p>
    <w:p w14:paraId="31BD2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szCs w:val="21"/>
          <w:highlight w:val="none"/>
          <w:lang w:val="en-US" w:eastAsia="zh-CN"/>
        </w:rPr>
      </w:pPr>
      <w:r>
        <w:rPr>
          <w:rFonts w:hint="eastAsia"/>
          <w:szCs w:val="21"/>
          <w:highlight w:val="none"/>
          <w:lang w:val="en-US" w:eastAsia="zh-CN"/>
        </w:rPr>
        <w:t>第二十一届全国环境友好科技竞赛绿色创业类赛道仅面向团队开展报名。可以参赛的作品包括以下几类：</w:t>
      </w:r>
    </w:p>
    <w:p w14:paraId="31006F32">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0" w:firstLineChars="0"/>
        <w:textAlignment w:val="auto"/>
        <w:outlineLvl w:val="9"/>
        <w:rPr>
          <w:rFonts w:hint="eastAsia"/>
          <w:szCs w:val="21"/>
          <w:highlight w:val="none"/>
          <w:lang w:val="en-US" w:eastAsia="zh-CN"/>
        </w:rPr>
      </w:pPr>
      <w:r>
        <w:rPr>
          <w:rFonts w:hint="eastAsia"/>
          <w:szCs w:val="21"/>
          <w:highlight w:val="none"/>
          <w:lang w:val="en-US" w:eastAsia="zh-CN"/>
        </w:rPr>
        <w:t>拥有或授权拥有产品或服务，并计划或已经在工商、民政等政府部门注册登记为企业、个体工商户、民办非企业单位等组织形式，且符合参赛资格的项目。</w:t>
      </w:r>
    </w:p>
    <w:p w14:paraId="347A442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szCs w:val="21"/>
          <w:highlight w:val="none"/>
          <w:lang w:val="en-US" w:eastAsia="zh-CN"/>
        </w:rPr>
      </w:pPr>
      <w:r>
        <w:rPr>
          <w:rFonts w:hint="eastAsia"/>
          <w:szCs w:val="21"/>
          <w:highlight w:val="none"/>
          <w:lang w:val="en-US" w:eastAsia="zh-CN"/>
        </w:rPr>
        <w:t>拥有或授权拥有产品或服务，具备从产业挖掘潜在需求，从需求引导技术创新的逆向创新特征；产品或服务符合赛事主办方提供的选题范围内的项目。</w:t>
      </w:r>
    </w:p>
    <w:p w14:paraId="751C193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szCs w:val="21"/>
          <w:highlight w:val="none"/>
          <w:lang w:val="en-US" w:eastAsia="zh-CN"/>
        </w:rPr>
      </w:pPr>
      <w:r>
        <w:rPr>
          <w:rFonts w:hint="eastAsia"/>
          <w:szCs w:val="21"/>
          <w:highlight w:val="none"/>
          <w:lang w:val="en-US" w:eastAsia="zh-CN"/>
        </w:rPr>
        <w:t>拥有或授权拥有产品或服务，具有创业性、非营利性、实践性，已系统性开展相关公益志愿活动，旨在成立非营利性组织或兼顾社会价值的营利性企业的公益类项目。</w:t>
      </w:r>
    </w:p>
    <w:p w14:paraId="14EAD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b/>
          <w:bCs/>
          <w:szCs w:val="21"/>
          <w:highlight w:val="none"/>
          <w:lang w:val="en-US" w:eastAsia="zh-CN"/>
        </w:rPr>
      </w:pPr>
      <w:r>
        <w:rPr>
          <w:rFonts w:hint="eastAsia"/>
          <w:b/>
          <w:bCs/>
          <w:szCs w:val="21"/>
          <w:highlight w:val="none"/>
          <w:lang w:val="en-US" w:eastAsia="zh-CN"/>
        </w:rPr>
        <w:t>4.8 本届环科赛的赛区如何划定？</w:t>
      </w:r>
    </w:p>
    <w:p w14:paraId="76A7E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b w:val="0"/>
          <w:bCs w:val="0"/>
          <w:szCs w:val="21"/>
          <w:highlight w:val="none"/>
          <w:lang w:val="en-US" w:eastAsia="zh-CN"/>
        </w:rPr>
      </w:pPr>
      <w:r>
        <w:rPr>
          <w:rFonts w:hint="default"/>
          <w:b w:val="0"/>
          <w:bCs w:val="0"/>
          <w:szCs w:val="21"/>
          <w:highlight w:val="none"/>
          <w:lang w:val="en-US" w:eastAsia="zh-CN"/>
        </w:rPr>
        <w:t>基于往届赛区奖授予经验，为平衡各赛区基础参赛队伍数并适当倾向西部、东北等地区，本届赛事设立三大主要赛区：</w:t>
      </w:r>
    </w:p>
    <w:p w14:paraId="4C3E7E8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outlineLvl w:val="9"/>
        <w:rPr>
          <w:rFonts w:hint="default"/>
          <w:b w:val="0"/>
          <w:bCs w:val="0"/>
          <w:szCs w:val="21"/>
          <w:highlight w:val="none"/>
          <w:lang w:val="en-US" w:eastAsia="zh-CN"/>
        </w:rPr>
      </w:pPr>
      <w:r>
        <w:rPr>
          <w:rFonts w:hint="default"/>
          <w:b w:val="0"/>
          <w:bCs w:val="0"/>
          <w:szCs w:val="21"/>
          <w:highlight w:val="none"/>
          <w:lang w:val="en-US" w:eastAsia="zh-CN"/>
        </w:rPr>
        <w:t>华北、东北、华中赛区：以主办单位清华大学为代表（含北京市、天津市、河北省、山西省、内蒙古自治区、辽宁省、吉林省、黑龙江省、河南省、湖北省、湖南省等）；</w:t>
      </w:r>
    </w:p>
    <w:p w14:paraId="4D95561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outlineLvl w:val="9"/>
        <w:rPr>
          <w:rFonts w:hint="default"/>
          <w:b w:val="0"/>
          <w:bCs w:val="0"/>
          <w:szCs w:val="21"/>
          <w:highlight w:val="none"/>
          <w:lang w:val="en-US" w:eastAsia="zh-CN"/>
        </w:rPr>
      </w:pPr>
      <w:r>
        <w:rPr>
          <w:rFonts w:hint="default"/>
          <w:b w:val="0"/>
          <w:bCs w:val="0"/>
          <w:szCs w:val="21"/>
          <w:highlight w:val="none"/>
          <w:lang w:val="en-US" w:eastAsia="zh-CN"/>
        </w:rPr>
        <w:t>华东、华南赛区：以主办单位同济大学为代表（含上海市、江苏省、浙江省、安徽省、福建省、江西省、山东省、广东省、广西壮族自治区、海南省、香港特别行政区、澳门特别行政区、台湾省等）；</w:t>
      </w:r>
    </w:p>
    <w:p w14:paraId="562201E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outlineLvl w:val="9"/>
        <w:rPr>
          <w:rFonts w:hint="default"/>
          <w:b w:val="0"/>
          <w:bCs w:val="0"/>
          <w:szCs w:val="21"/>
          <w:highlight w:val="none"/>
          <w:lang w:val="en-US" w:eastAsia="zh-CN"/>
        </w:rPr>
      </w:pPr>
      <w:r>
        <w:rPr>
          <w:rFonts w:hint="default"/>
          <w:b w:val="0"/>
          <w:bCs w:val="0"/>
          <w:szCs w:val="21"/>
          <w:highlight w:val="none"/>
          <w:lang w:val="en-US" w:eastAsia="zh-CN"/>
        </w:rPr>
        <w:t>西南、西北赛区：以主办单位西安建筑科技大学为代表（含重庆市、四川省、贵州省、云南省、西藏自治区、陕西省、甘肃省、青海省、宁夏回族自治区、新疆维吾尔自治区等）。</w:t>
      </w:r>
    </w:p>
    <w:p w14:paraId="5481E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ascii="Times New Roman" w:hAnsi="Times New Roman" w:eastAsia="宋体"/>
          <w:b/>
          <w:bCs/>
          <w:sz w:val="21"/>
          <w:szCs w:val="21"/>
          <w:highlight w:val="none"/>
          <w:lang w:val="en-US" w:eastAsia="zh-CN"/>
        </w:rPr>
      </w:pPr>
      <w:r>
        <w:rPr>
          <w:rFonts w:hint="eastAsia" w:ascii="Times New Roman" w:hAnsi="Times New Roman" w:eastAsia="宋体"/>
          <w:b/>
          <w:bCs/>
          <w:sz w:val="21"/>
          <w:szCs w:val="21"/>
          <w:highlight w:val="none"/>
          <w:lang w:val="en-US" w:eastAsia="zh-CN"/>
        </w:rPr>
        <w:t>4.9 参加过其他竞赛或者评审的作品是否可以参加环境友好科技竞赛？</w:t>
      </w:r>
      <w:bookmarkEnd w:id="69"/>
      <w:bookmarkEnd w:id="70"/>
      <w:bookmarkEnd w:id="71"/>
      <w:bookmarkEnd w:id="72"/>
    </w:p>
    <w:p w14:paraId="241948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szCs w:val="21"/>
          <w:highlight w:val="none"/>
          <w:lang w:val="en-US" w:eastAsia="zh-CN"/>
        </w:rPr>
      </w:pPr>
      <w:r>
        <w:rPr>
          <w:rFonts w:hint="eastAsia"/>
          <w:szCs w:val="21"/>
          <w:highlight w:val="none"/>
        </w:rPr>
        <w:t>可以，只要是能符合竞赛主题，不涉及知识产权纠纷的学生课外科技作品均可以参加竞赛。曾</w:t>
      </w:r>
      <w:r>
        <w:rPr>
          <w:rFonts w:hint="eastAsia"/>
          <w:szCs w:val="21"/>
          <w:highlight w:val="none"/>
          <w:lang w:val="en-US" w:eastAsia="zh-CN"/>
        </w:rPr>
        <w:t>参与</w:t>
      </w:r>
      <w:r>
        <w:rPr>
          <w:rFonts w:hint="eastAsia"/>
          <w:szCs w:val="21"/>
          <w:highlight w:val="none"/>
        </w:rPr>
        <w:t>往届全国环境友好科技竞赛的作品，</w:t>
      </w:r>
      <w:r>
        <w:rPr>
          <w:rFonts w:hint="eastAsia"/>
          <w:szCs w:val="21"/>
          <w:highlight w:val="none"/>
          <w:lang w:val="en-US" w:eastAsia="zh-CN"/>
        </w:rPr>
        <w:t>均需在相关资料中补充提交往届作品改进参赛资格审查表（附件8）。如未填写报名参赛，一经举报核实后，取消参赛和获奖资格。</w:t>
      </w:r>
      <w:bookmarkStart w:id="73" w:name="_Toc133224616"/>
      <w:bookmarkStart w:id="74" w:name="_Toc507704103"/>
      <w:bookmarkStart w:id="75" w:name="_Toc133220916"/>
      <w:bookmarkStart w:id="76" w:name="_Toc133226266"/>
    </w:p>
    <w:bookmarkEnd w:id="73"/>
    <w:bookmarkEnd w:id="74"/>
    <w:bookmarkEnd w:id="75"/>
    <w:bookmarkEnd w:id="76"/>
    <w:p w14:paraId="7603F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outlineLvl w:val="9"/>
        <w:rPr>
          <w:rFonts w:hint="eastAsia" w:ascii="Times New Roman" w:hAnsi="Times New Roman" w:eastAsia="宋体"/>
          <w:b/>
          <w:bCs/>
          <w:sz w:val="21"/>
          <w:szCs w:val="21"/>
          <w:highlight w:val="none"/>
          <w:lang w:val="en-US" w:eastAsia="zh-CN"/>
        </w:rPr>
      </w:pPr>
      <w:bookmarkStart w:id="77" w:name="_Toc133226271"/>
      <w:bookmarkStart w:id="78" w:name="_Toc507704107"/>
      <w:bookmarkStart w:id="79" w:name="_Toc133224621"/>
      <w:bookmarkStart w:id="80" w:name="_Toc133220921"/>
      <w:r>
        <w:rPr>
          <w:rFonts w:hint="eastAsia" w:ascii="Times New Roman" w:hAnsi="Times New Roman" w:eastAsia="宋体"/>
          <w:b/>
          <w:bCs/>
          <w:sz w:val="21"/>
          <w:szCs w:val="21"/>
          <w:highlight w:val="none"/>
          <w:lang w:val="en-US" w:eastAsia="zh-CN"/>
        </w:rPr>
        <w:t>4.10 竞赛关于参赛作品的知识产权有何要求和保护措施？</w:t>
      </w:r>
      <w:bookmarkEnd w:id="77"/>
      <w:bookmarkEnd w:id="78"/>
      <w:bookmarkEnd w:id="79"/>
      <w:bookmarkEnd w:id="80"/>
    </w:p>
    <w:p w14:paraId="2F6AD742">
      <w:pPr>
        <w:keepNext w:val="0"/>
        <w:keepLines w:val="0"/>
        <w:pageBreakBefore w:val="0"/>
        <w:widowControl w:val="0"/>
        <w:kinsoku/>
        <w:wordWrap/>
        <w:overflowPunct/>
        <w:topLinePunct w:val="0"/>
        <w:autoSpaceDN/>
        <w:bidi w:val="0"/>
        <w:spacing w:line="360" w:lineRule="auto"/>
        <w:ind w:firstLine="420" w:firstLineChars="200"/>
        <w:textAlignment w:val="auto"/>
        <w:outlineLvl w:val="9"/>
        <w:rPr>
          <w:szCs w:val="21"/>
          <w:highlight w:val="none"/>
        </w:rPr>
      </w:pPr>
      <w:r>
        <w:rPr>
          <w:szCs w:val="21"/>
          <w:highlight w:val="none"/>
        </w:rPr>
        <w:t>竞赛要求参赛者确保自己的作品不侵犯他人的知识产权，作品引起的知识产权纠纷由参赛者自负；同时，竞赛组委会拥有对作品简介和成果进行展示、结集出版、在网上公布的权利。</w:t>
      </w:r>
    </w:p>
    <w:p w14:paraId="0E68932B">
      <w:pPr>
        <w:spacing w:line="360" w:lineRule="auto"/>
        <w:ind w:firstLine="420" w:firstLineChars="200"/>
        <w:outlineLvl w:val="9"/>
        <w:rPr>
          <w:szCs w:val="21"/>
          <w:highlight w:val="none"/>
        </w:rPr>
      </w:pPr>
    </w:p>
    <w:sectPr>
      <w:pgSz w:w="7371" w:h="10433"/>
      <w:pgMar w:top="1134" w:right="1021" w:bottom="1134" w:left="1021"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ZWAdobeF">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E8C6">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48D8">
    <w:pPr>
      <w:pStyle w:val="5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65B1">
    <w:pPr>
      <w:pStyle w:val="5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23</w:t>
    </w:r>
    <w:r>
      <w:rPr>
        <w:kern w:val="0"/>
        <w:szCs w:val="21"/>
      </w:rPr>
      <w:fldChar w:fldCharType="end"/>
    </w:r>
    <w:r>
      <w:rPr>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95AD">
    <w:pPr>
      <w:pStyle w:val="55"/>
      <w:jc w:val="center"/>
      <w:rPr>
        <w:rFonts w:hint="eastAsia"/>
      </w:rPr>
    </w:pPr>
    <w:r>
      <w:t xml:space="preserve">- </w:t>
    </w:r>
    <w:r>
      <w:fldChar w:fldCharType="begin"/>
    </w:r>
    <w:r>
      <w:instrText xml:space="preserve"> PAGE </w:instrText>
    </w:r>
    <w:r>
      <w:fldChar w:fldCharType="separate"/>
    </w:r>
    <w:r>
      <w:t>24</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86D6">
    <w:pPr>
      <w:pStyle w:val="57"/>
    </w:pPr>
    <w:r>
      <w:rPr>
        <w:rFonts w:hint="eastAsia"/>
        <w:lang w:val="en-US" w:eastAsia="zh-CN"/>
      </w:rPr>
      <w:t>第二十一届</w:t>
    </w:r>
    <w:r>
      <w:rPr>
        <w:rFonts w:hint="eastAsia"/>
      </w:rPr>
      <w:t>全国环境友好科技竞赛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EEE4">
    <w:pPr>
      <w:pStyle w:val="57"/>
    </w:pPr>
    <w:r>
      <w:rPr>
        <w:rFonts w:hint="eastAsia"/>
      </w:rPr>
      <w:t xml:space="preserve">全国环境友好科技竞赛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7772"/>
    <w:multiLevelType w:val="singleLevel"/>
    <w:tmpl w:val="C98C7772"/>
    <w:lvl w:ilvl="0" w:tentative="0">
      <w:start w:val="1"/>
      <w:numFmt w:val="decimal"/>
      <w:suff w:val="nothing"/>
      <w:lvlText w:val="（%1）"/>
      <w:lvlJc w:val="left"/>
    </w:lvl>
  </w:abstractNum>
  <w:abstractNum w:abstractNumId="1">
    <w:nsid w:val="ED669E0F"/>
    <w:multiLevelType w:val="singleLevel"/>
    <w:tmpl w:val="ED669E0F"/>
    <w:lvl w:ilvl="0" w:tentative="0">
      <w:start w:val="1"/>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2">
    <w:nsid w:val="1D9BD526"/>
    <w:multiLevelType w:val="singleLevel"/>
    <w:tmpl w:val="1D9BD526"/>
    <w:lvl w:ilvl="0" w:tentative="0">
      <w:start w:val="1"/>
      <w:numFmt w:val="decimal"/>
      <w:suff w:val="space"/>
      <w:lvlText w:val="%1."/>
      <w:lvlJc w:val="left"/>
    </w:lvl>
  </w:abstractNum>
  <w:abstractNum w:abstractNumId="13">
    <w:nsid w:val="3339942A"/>
    <w:multiLevelType w:val="singleLevel"/>
    <w:tmpl w:val="3339942A"/>
    <w:lvl w:ilvl="0" w:tentative="0">
      <w:start w:val="1"/>
      <w:numFmt w:val="decimal"/>
      <w:suff w:val="nothing"/>
      <w:lvlText w:val="（%1）"/>
      <w:lvlJc w:val="left"/>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0033638A"/>
    <w:rsid w:val="0000072B"/>
    <w:rsid w:val="00000C3E"/>
    <w:rsid w:val="00000ED1"/>
    <w:rsid w:val="00004531"/>
    <w:rsid w:val="000048C3"/>
    <w:rsid w:val="000070BD"/>
    <w:rsid w:val="00010F40"/>
    <w:rsid w:val="0001195A"/>
    <w:rsid w:val="000120CD"/>
    <w:rsid w:val="0001226F"/>
    <w:rsid w:val="0001292B"/>
    <w:rsid w:val="000138F4"/>
    <w:rsid w:val="00013A0F"/>
    <w:rsid w:val="000140C7"/>
    <w:rsid w:val="000155E4"/>
    <w:rsid w:val="00017717"/>
    <w:rsid w:val="00022A70"/>
    <w:rsid w:val="000258EE"/>
    <w:rsid w:val="000264B2"/>
    <w:rsid w:val="000272B2"/>
    <w:rsid w:val="00032473"/>
    <w:rsid w:val="000332C0"/>
    <w:rsid w:val="00035EF5"/>
    <w:rsid w:val="000374C1"/>
    <w:rsid w:val="00041A0C"/>
    <w:rsid w:val="00041B6F"/>
    <w:rsid w:val="00043063"/>
    <w:rsid w:val="00043EF0"/>
    <w:rsid w:val="00044010"/>
    <w:rsid w:val="0004416A"/>
    <w:rsid w:val="00044466"/>
    <w:rsid w:val="00046C15"/>
    <w:rsid w:val="000477BD"/>
    <w:rsid w:val="000500E1"/>
    <w:rsid w:val="00051B90"/>
    <w:rsid w:val="0005416D"/>
    <w:rsid w:val="00055584"/>
    <w:rsid w:val="000574C9"/>
    <w:rsid w:val="00060028"/>
    <w:rsid w:val="0006002F"/>
    <w:rsid w:val="00060B96"/>
    <w:rsid w:val="00060C95"/>
    <w:rsid w:val="00061B1D"/>
    <w:rsid w:val="00063127"/>
    <w:rsid w:val="00064FF2"/>
    <w:rsid w:val="00065879"/>
    <w:rsid w:val="00065DDE"/>
    <w:rsid w:val="00066B79"/>
    <w:rsid w:val="00070187"/>
    <w:rsid w:val="00070565"/>
    <w:rsid w:val="000712C4"/>
    <w:rsid w:val="00072760"/>
    <w:rsid w:val="00073A5E"/>
    <w:rsid w:val="00075EB2"/>
    <w:rsid w:val="000815F2"/>
    <w:rsid w:val="00083C1D"/>
    <w:rsid w:val="00083ECC"/>
    <w:rsid w:val="00084D2E"/>
    <w:rsid w:val="0008509F"/>
    <w:rsid w:val="000858D2"/>
    <w:rsid w:val="00086497"/>
    <w:rsid w:val="0008651F"/>
    <w:rsid w:val="00087F9C"/>
    <w:rsid w:val="00090FE1"/>
    <w:rsid w:val="0009190F"/>
    <w:rsid w:val="00094F4C"/>
    <w:rsid w:val="00095EF8"/>
    <w:rsid w:val="0009733E"/>
    <w:rsid w:val="000A0266"/>
    <w:rsid w:val="000A1AB2"/>
    <w:rsid w:val="000A29E1"/>
    <w:rsid w:val="000A2A85"/>
    <w:rsid w:val="000A2C49"/>
    <w:rsid w:val="000A2F8F"/>
    <w:rsid w:val="000A378D"/>
    <w:rsid w:val="000A4A14"/>
    <w:rsid w:val="000A56D7"/>
    <w:rsid w:val="000A61DB"/>
    <w:rsid w:val="000A6626"/>
    <w:rsid w:val="000A77B9"/>
    <w:rsid w:val="000A7BF4"/>
    <w:rsid w:val="000A7EE0"/>
    <w:rsid w:val="000B0B5D"/>
    <w:rsid w:val="000B0E15"/>
    <w:rsid w:val="000B1E5E"/>
    <w:rsid w:val="000B299C"/>
    <w:rsid w:val="000B2C8C"/>
    <w:rsid w:val="000B3398"/>
    <w:rsid w:val="000B4330"/>
    <w:rsid w:val="000B47FC"/>
    <w:rsid w:val="000B4804"/>
    <w:rsid w:val="000B56D0"/>
    <w:rsid w:val="000B5ABC"/>
    <w:rsid w:val="000C1DD7"/>
    <w:rsid w:val="000C242E"/>
    <w:rsid w:val="000C2E5A"/>
    <w:rsid w:val="000C356B"/>
    <w:rsid w:val="000C6BD7"/>
    <w:rsid w:val="000C7054"/>
    <w:rsid w:val="000C74A9"/>
    <w:rsid w:val="000D14A3"/>
    <w:rsid w:val="000D2F67"/>
    <w:rsid w:val="000D476E"/>
    <w:rsid w:val="000D4D36"/>
    <w:rsid w:val="000E01CC"/>
    <w:rsid w:val="000E09DE"/>
    <w:rsid w:val="000E12AB"/>
    <w:rsid w:val="000E4214"/>
    <w:rsid w:val="000E5560"/>
    <w:rsid w:val="000E5E3C"/>
    <w:rsid w:val="000E5FA0"/>
    <w:rsid w:val="000E67FD"/>
    <w:rsid w:val="000E759F"/>
    <w:rsid w:val="000F0AC5"/>
    <w:rsid w:val="000F13A1"/>
    <w:rsid w:val="000F2E0A"/>
    <w:rsid w:val="000F36E9"/>
    <w:rsid w:val="000F3BC1"/>
    <w:rsid w:val="000F3D44"/>
    <w:rsid w:val="000F42E4"/>
    <w:rsid w:val="000F488E"/>
    <w:rsid w:val="000F50E8"/>
    <w:rsid w:val="000F5CF2"/>
    <w:rsid w:val="00102A24"/>
    <w:rsid w:val="00102C7D"/>
    <w:rsid w:val="00105302"/>
    <w:rsid w:val="00106C65"/>
    <w:rsid w:val="00110BF7"/>
    <w:rsid w:val="001121F2"/>
    <w:rsid w:val="0011282E"/>
    <w:rsid w:val="00113E14"/>
    <w:rsid w:val="001141C2"/>
    <w:rsid w:val="00116186"/>
    <w:rsid w:val="001169EA"/>
    <w:rsid w:val="00121DF7"/>
    <w:rsid w:val="00121E36"/>
    <w:rsid w:val="00122DA8"/>
    <w:rsid w:val="0012311E"/>
    <w:rsid w:val="001232DD"/>
    <w:rsid w:val="001259C2"/>
    <w:rsid w:val="00126960"/>
    <w:rsid w:val="00126B4A"/>
    <w:rsid w:val="00127228"/>
    <w:rsid w:val="00130440"/>
    <w:rsid w:val="00131CB4"/>
    <w:rsid w:val="00132EA2"/>
    <w:rsid w:val="00133C9D"/>
    <w:rsid w:val="00134484"/>
    <w:rsid w:val="00135030"/>
    <w:rsid w:val="00135615"/>
    <w:rsid w:val="001368CF"/>
    <w:rsid w:val="001400D5"/>
    <w:rsid w:val="00141D8B"/>
    <w:rsid w:val="0014282C"/>
    <w:rsid w:val="00143BB4"/>
    <w:rsid w:val="001446A2"/>
    <w:rsid w:val="0014589A"/>
    <w:rsid w:val="0014696D"/>
    <w:rsid w:val="001508B1"/>
    <w:rsid w:val="00152B4E"/>
    <w:rsid w:val="00152EFA"/>
    <w:rsid w:val="0015353F"/>
    <w:rsid w:val="00153E91"/>
    <w:rsid w:val="001575C0"/>
    <w:rsid w:val="00157CCE"/>
    <w:rsid w:val="00160551"/>
    <w:rsid w:val="00160D05"/>
    <w:rsid w:val="00162299"/>
    <w:rsid w:val="00162300"/>
    <w:rsid w:val="00163C5D"/>
    <w:rsid w:val="00164B59"/>
    <w:rsid w:val="00165445"/>
    <w:rsid w:val="00166475"/>
    <w:rsid w:val="00166FAB"/>
    <w:rsid w:val="00167FD7"/>
    <w:rsid w:val="00170BAD"/>
    <w:rsid w:val="00170C7A"/>
    <w:rsid w:val="00170D46"/>
    <w:rsid w:val="0017286F"/>
    <w:rsid w:val="0017397A"/>
    <w:rsid w:val="001748E6"/>
    <w:rsid w:val="001753FC"/>
    <w:rsid w:val="00177434"/>
    <w:rsid w:val="00177581"/>
    <w:rsid w:val="00180D62"/>
    <w:rsid w:val="001824A2"/>
    <w:rsid w:val="00182E1B"/>
    <w:rsid w:val="0018440E"/>
    <w:rsid w:val="00184548"/>
    <w:rsid w:val="0018461B"/>
    <w:rsid w:val="0018616B"/>
    <w:rsid w:val="00187AA0"/>
    <w:rsid w:val="00191405"/>
    <w:rsid w:val="0019153C"/>
    <w:rsid w:val="001926B6"/>
    <w:rsid w:val="0019477A"/>
    <w:rsid w:val="00194FBE"/>
    <w:rsid w:val="00197A95"/>
    <w:rsid w:val="001A0B43"/>
    <w:rsid w:val="001A2203"/>
    <w:rsid w:val="001A6C38"/>
    <w:rsid w:val="001B2848"/>
    <w:rsid w:val="001B5C4B"/>
    <w:rsid w:val="001C22DE"/>
    <w:rsid w:val="001C25E5"/>
    <w:rsid w:val="001C4B38"/>
    <w:rsid w:val="001C4DBF"/>
    <w:rsid w:val="001C664A"/>
    <w:rsid w:val="001C6FB7"/>
    <w:rsid w:val="001D1022"/>
    <w:rsid w:val="001D225D"/>
    <w:rsid w:val="001D22A3"/>
    <w:rsid w:val="001D2C18"/>
    <w:rsid w:val="001D3CCC"/>
    <w:rsid w:val="001D4D71"/>
    <w:rsid w:val="001D4E42"/>
    <w:rsid w:val="001D5AF4"/>
    <w:rsid w:val="001D5EBD"/>
    <w:rsid w:val="001D649E"/>
    <w:rsid w:val="001D69BE"/>
    <w:rsid w:val="001E076E"/>
    <w:rsid w:val="001E1203"/>
    <w:rsid w:val="001E27A2"/>
    <w:rsid w:val="001E3E65"/>
    <w:rsid w:val="001E40D9"/>
    <w:rsid w:val="001E5E8A"/>
    <w:rsid w:val="001E60FF"/>
    <w:rsid w:val="001F0195"/>
    <w:rsid w:val="001F3ED0"/>
    <w:rsid w:val="001F5A25"/>
    <w:rsid w:val="001F679E"/>
    <w:rsid w:val="00200161"/>
    <w:rsid w:val="0020041E"/>
    <w:rsid w:val="00200A7A"/>
    <w:rsid w:val="00201590"/>
    <w:rsid w:val="00204728"/>
    <w:rsid w:val="0020605C"/>
    <w:rsid w:val="002070F2"/>
    <w:rsid w:val="00207852"/>
    <w:rsid w:val="0021323F"/>
    <w:rsid w:val="00213444"/>
    <w:rsid w:val="00213743"/>
    <w:rsid w:val="00214BF7"/>
    <w:rsid w:val="0021514B"/>
    <w:rsid w:val="00220A15"/>
    <w:rsid w:val="00220B27"/>
    <w:rsid w:val="00225A73"/>
    <w:rsid w:val="00226142"/>
    <w:rsid w:val="0022768C"/>
    <w:rsid w:val="00227A00"/>
    <w:rsid w:val="002321E9"/>
    <w:rsid w:val="00233634"/>
    <w:rsid w:val="00233AD3"/>
    <w:rsid w:val="0023481E"/>
    <w:rsid w:val="00237A56"/>
    <w:rsid w:val="0024046D"/>
    <w:rsid w:val="002436AF"/>
    <w:rsid w:val="002453D6"/>
    <w:rsid w:val="002466BF"/>
    <w:rsid w:val="00246DCE"/>
    <w:rsid w:val="00251184"/>
    <w:rsid w:val="002540D9"/>
    <w:rsid w:val="002542C9"/>
    <w:rsid w:val="00254AEB"/>
    <w:rsid w:val="00255D98"/>
    <w:rsid w:val="00260430"/>
    <w:rsid w:val="00261571"/>
    <w:rsid w:val="00261AE1"/>
    <w:rsid w:val="00261D0C"/>
    <w:rsid w:val="00262A38"/>
    <w:rsid w:val="00262C94"/>
    <w:rsid w:val="002634BD"/>
    <w:rsid w:val="002639F8"/>
    <w:rsid w:val="00264CBA"/>
    <w:rsid w:val="00266C7B"/>
    <w:rsid w:val="00267B0B"/>
    <w:rsid w:val="00270308"/>
    <w:rsid w:val="00270A95"/>
    <w:rsid w:val="00270E58"/>
    <w:rsid w:val="00271577"/>
    <w:rsid w:val="00271DE5"/>
    <w:rsid w:val="0027382E"/>
    <w:rsid w:val="002755EC"/>
    <w:rsid w:val="00275F1D"/>
    <w:rsid w:val="00276471"/>
    <w:rsid w:val="00276CAF"/>
    <w:rsid w:val="0027704B"/>
    <w:rsid w:val="00282194"/>
    <w:rsid w:val="00286A96"/>
    <w:rsid w:val="002920EA"/>
    <w:rsid w:val="0029361A"/>
    <w:rsid w:val="0029476C"/>
    <w:rsid w:val="002970D6"/>
    <w:rsid w:val="00297202"/>
    <w:rsid w:val="002A2CB9"/>
    <w:rsid w:val="002A2EF4"/>
    <w:rsid w:val="002A311E"/>
    <w:rsid w:val="002A4636"/>
    <w:rsid w:val="002A499E"/>
    <w:rsid w:val="002A5F21"/>
    <w:rsid w:val="002A74B5"/>
    <w:rsid w:val="002A7DC0"/>
    <w:rsid w:val="002B10A7"/>
    <w:rsid w:val="002B22AF"/>
    <w:rsid w:val="002B305C"/>
    <w:rsid w:val="002B75A8"/>
    <w:rsid w:val="002C0547"/>
    <w:rsid w:val="002C0EDD"/>
    <w:rsid w:val="002C19D2"/>
    <w:rsid w:val="002C691A"/>
    <w:rsid w:val="002C701C"/>
    <w:rsid w:val="002C7E94"/>
    <w:rsid w:val="002D04DA"/>
    <w:rsid w:val="002D31AA"/>
    <w:rsid w:val="002D3220"/>
    <w:rsid w:val="002D3BC5"/>
    <w:rsid w:val="002D3EC9"/>
    <w:rsid w:val="002D5B2B"/>
    <w:rsid w:val="002D5D90"/>
    <w:rsid w:val="002D674B"/>
    <w:rsid w:val="002E1CBD"/>
    <w:rsid w:val="002E238B"/>
    <w:rsid w:val="002E300E"/>
    <w:rsid w:val="002E65D2"/>
    <w:rsid w:val="002E6939"/>
    <w:rsid w:val="002E738C"/>
    <w:rsid w:val="002E7684"/>
    <w:rsid w:val="002F09AD"/>
    <w:rsid w:val="002F3D08"/>
    <w:rsid w:val="002F463A"/>
    <w:rsid w:val="002F66C3"/>
    <w:rsid w:val="002F7F78"/>
    <w:rsid w:val="00300684"/>
    <w:rsid w:val="00300746"/>
    <w:rsid w:val="003014F6"/>
    <w:rsid w:val="00301D06"/>
    <w:rsid w:val="00302EA4"/>
    <w:rsid w:val="003030D7"/>
    <w:rsid w:val="003107A1"/>
    <w:rsid w:val="00310F75"/>
    <w:rsid w:val="003130A3"/>
    <w:rsid w:val="00314584"/>
    <w:rsid w:val="00315D5C"/>
    <w:rsid w:val="00316388"/>
    <w:rsid w:val="00316D2A"/>
    <w:rsid w:val="00320783"/>
    <w:rsid w:val="00321608"/>
    <w:rsid w:val="00321CB4"/>
    <w:rsid w:val="00321DE7"/>
    <w:rsid w:val="00323937"/>
    <w:rsid w:val="003279C4"/>
    <w:rsid w:val="003302A2"/>
    <w:rsid w:val="003306FA"/>
    <w:rsid w:val="00330CCB"/>
    <w:rsid w:val="00331388"/>
    <w:rsid w:val="003320A6"/>
    <w:rsid w:val="003321D2"/>
    <w:rsid w:val="00332FD0"/>
    <w:rsid w:val="00333D07"/>
    <w:rsid w:val="003345F1"/>
    <w:rsid w:val="003348CE"/>
    <w:rsid w:val="003348D5"/>
    <w:rsid w:val="0033538D"/>
    <w:rsid w:val="0033638A"/>
    <w:rsid w:val="00336CBC"/>
    <w:rsid w:val="003377D6"/>
    <w:rsid w:val="0034075B"/>
    <w:rsid w:val="00340D2D"/>
    <w:rsid w:val="00340D57"/>
    <w:rsid w:val="00340FB2"/>
    <w:rsid w:val="00343442"/>
    <w:rsid w:val="00343A67"/>
    <w:rsid w:val="00343CD5"/>
    <w:rsid w:val="00346488"/>
    <w:rsid w:val="00347B15"/>
    <w:rsid w:val="0035031D"/>
    <w:rsid w:val="003504D3"/>
    <w:rsid w:val="00350EB4"/>
    <w:rsid w:val="00350ED1"/>
    <w:rsid w:val="00351FE1"/>
    <w:rsid w:val="003549F2"/>
    <w:rsid w:val="003565E0"/>
    <w:rsid w:val="00362067"/>
    <w:rsid w:val="003621E4"/>
    <w:rsid w:val="00362C3D"/>
    <w:rsid w:val="003656FB"/>
    <w:rsid w:val="003669BC"/>
    <w:rsid w:val="0037031A"/>
    <w:rsid w:val="0037161F"/>
    <w:rsid w:val="00372A1B"/>
    <w:rsid w:val="00373C44"/>
    <w:rsid w:val="00374A10"/>
    <w:rsid w:val="00375291"/>
    <w:rsid w:val="00376196"/>
    <w:rsid w:val="00376FCD"/>
    <w:rsid w:val="00377762"/>
    <w:rsid w:val="00381475"/>
    <w:rsid w:val="00381A8D"/>
    <w:rsid w:val="00384EF4"/>
    <w:rsid w:val="00385014"/>
    <w:rsid w:val="00387E21"/>
    <w:rsid w:val="00390CF0"/>
    <w:rsid w:val="003929AE"/>
    <w:rsid w:val="00394D37"/>
    <w:rsid w:val="003952FB"/>
    <w:rsid w:val="00397220"/>
    <w:rsid w:val="003A1A9A"/>
    <w:rsid w:val="003A54B9"/>
    <w:rsid w:val="003A5752"/>
    <w:rsid w:val="003A5EAA"/>
    <w:rsid w:val="003A6CF5"/>
    <w:rsid w:val="003A6ED8"/>
    <w:rsid w:val="003A714C"/>
    <w:rsid w:val="003A729D"/>
    <w:rsid w:val="003A770F"/>
    <w:rsid w:val="003A7BE3"/>
    <w:rsid w:val="003B0B45"/>
    <w:rsid w:val="003B1BE9"/>
    <w:rsid w:val="003B3516"/>
    <w:rsid w:val="003B454B"/>
    <w:rsid w:val="003B501B"/>
    <w:rsid w:val="003B507D"/>
    <w:rsid w:val="003B5816"/>
    <w:rsid w:val="003B5E72"/>
    <w:rsid w:val="003B7440"/>
    <w:rsid w:val="003C1E27"/>
    <w:rsid w:val="003C382C"/>
    <w:rsid w:val="003C4531"/>
    <w:rsid w:val="003C4FB6"/>
    <w:rsid w:val="003C5F87"/>
    <w:rsid w:val="003C68E7"/>
    <w:rsid w:val="003C6ADE"/>
    <w:rsid w:val="003C6E5A"/>
    <w:rsid w:val="003D0476"/>
    <w:rsid w:val="003D068F"/>
    <w:rsid w:val="003D2268"/>
    <w:rsid w:val="003D28F8"/>
    <w:rsid w:val="003D31E1"/>
    <w:rsid w:val="003D64BC"/>
    <w:rsid w:val="003D6E13"/>
    <w:rsid w:val="003E0EC3"/>
    <w:rsid w:val="003E2C36"/>
    <w:rsid w:val="003E3251"/>
    <w:rsid w:val="003E46D4"/>
    <w:rsid w:val="003E4723"/>
    <w:rsid w:val="003E49A8"/>
    <w:rsid w:val="003E50E6"/>
    <w:rsid w:val="003E65A0"/>
    <w:rsid w:val="003E75BE"/>
    <w:rsid w:val="003F1073"/>
    <w:rsid w:val="003F1483"/>
    <w:rsid w:val="003F264A"/>
    <w:rsid w:val="003F2668"/>
    <w:rsid w:val="003F2D5B"/>
    <w:rsid w:val="003F4B73"/>
    <w:rsid w:val="003F5171"/>
    <w:rsid w:val="003F5728"/>
    <w:rsid w:val="003F5829"/>
    <w:rsid w:val="003F6AD8"/>
    <w:rsid w:val="003F7196"/>
    <w:rsid w:val="003F79C1"/>
    <w:rsid w:val="0040083F"/>
    <w:rsid w:val="00401E69"/>
    <w:rsid w:val="00403189"/>
    <w:rsid w:val="00406EAA"/>
    <w:rsid w:val="0041138B"/>
    <w:rsid w:val="004116EE"/>
    <w:rsid w:val="00413A31"/>
    <w:rsid w:val="00413E90"/>
    <w:rsid w:val="004178A0"/>
    <w:rsid w:val="00420372"/>
    <w:rsid w:val="00420A33"/>
    <w:rsid w:val="00421549"/>
    <w:rsid w:val="00421815"/>
    <w:rsid w:val="00422753"/>
    <w:rsid w:val="00422A3E"/>
    <w:rsid w:val="004234C4"/>
    <w:rsid w:val="0042478B"/>
    <w:rsid w:val="004263E6"/>
    <w:rsid w:val="00426B49"/>
    <w:rsid w:val="00427085"/>
    <w:rsid w:val="004320AC"/>
    <w:rsid w:val="00432D48"/>
    <w:rsid w:val="004346C5"/>
    <w:rsid w:val="00436945"/>
    <w:rsid w:val="00437E16"/>
    <w:rsid w:val="0044178E"/>
    <w:rsid w:val="004439AB"/>
    <w:rsid w:val="00443D17"/>
    <w:rsid w:val="0044403A"/>
    <w:rsid w:val="00452D0F"/>
    <w:rsid w:val="00453095"/>
    <w:rsid w:val="00453204"/>
    <w:rsid w:val="0045379E"/>
    <w:rsid w:val="00454E00"/>
    <w:rsid w:val="004551CB"/>
    <w:rsid w:val="004562F0"/>
    <w:rsid w:val="0045684E"/>
    <w:rsid w:val="00457C91"/>
    <w:rsid w:val="00460134"/>
    <w:rsid w:val="00460CB4"/>
    <w:rsid w:val="0046177E"/>
    <w:rsid w:val="00463CE5"/>
    <w:rsid w:val="004656C4"/>
    <w:rsid w:val="00470495"/>
    <w:rsid w:val="00470EB9"/>
    <w:rsid w:val="00471B61"/>
    <w:rsid w:val="00473FEE"/>
    <w:rsid w:val="00475ABA"/>
    <w:rsid w:val="00476C01"/>
    <w:rsid w:val="00476F8A"/>
    <w:rsid w:val="00480807"/>
    <w:rsid w:val="004837F7"/>
    <w:rsid w:val="00485D8B"/>
    <w:rsid w:val="004869CB"/>
    <w:rsid w:val="00487757"/>
    <w:rsid w:val="00490C58"/>
    <w:rsid w:val="00490DA2"/>
    <w:rsid w:val="00491944"/>
    <w:rsid w:val="004957AA"/>
    <w:rsid w:val="00496ACF"/>
    <w:rsid w:val="00496DC7"/>
    <w:rsid w:val="00497BE3"/>
    <w:rsid w:val="004A0153"/>
    <w:rsid w:val="004A1058"/>
    <w:rsid w:val="004A1720"/>
    <w:rsid w:val="004A2452"/>
    <w:rsid w:val="004A2B57"/>
    <w:rsid w:val="004A34BB"/>
    <w:rsid w:val="004A37F2"/>
    <w:rsid w:val="004A4CC0"/>
    <w:rsid w:val="004A5D91"/>
    <w:rsid w:val="004A6B89"/>
    <w:rsid w:val="004B35E2"/>
    <w:rsid w:val="004B35F5"/>
    <w:rsid w:val="004B3DD2"/>
    <w:rsid w:val="004B4138"/>
    <w:rsid w:val="004B41C5"/>
    <w:rsid w:val="004B4762"/>
    <w:rsid w:val="004C204E"/>
    <w:rsid w:val="004C3CC2"/>
    <w:rsid w:val="004C3EA4"/>
    <w:rsid w:val="004C4D05"/>
    <w:rsid w:val="004C5885"/>
    <w:rsid w:val="004C591C"/>
    <w:rsid w:val="004D07F2"/>
    <w:rsid w:val="004D0806"/>
    <w:rsid w:val="004D15A4"/>
    <w:rsid w:val="004D19E0"/>
    <w:rsid w:val="004D1C46"/>
    <w:rsid w:val="004D2CA5"/>
    <w:rsid w:val="004D37BC"/>
    <w:rsid w:val="004D5546"/>
    <w:rsid w:val="004D55AE"/>
    <w:rsid w:val="004D7E58"/>
    <w:rsid w:val="004E0C97"/>
    <w:rsid w:val="004E273F"/>
    <w:rsid w:val="004E2A59"/>
    <w:rsid w:val="004E4CB7"/>
    <w:rsid w:val="004E53B8"/>
    <w:rsid w:val="004E6912"/>
    <w:rsid w:val="004E7A85"/>
    <w:rsid w:val="004F0396"/>
    <w:rsid w:val="004F0748"/>
    <w:rsid w:val="004F1412"/>
    <w:rsid w:val="004F3548"/>
    <w:rsid w:val="004F36EA"/>
    <w:rsid w:val="004F3C06"/>
    <w:rsid w:val="004F4629"/>
    <w:rsid w:val="004F68E0"/>
    <w:rsid w:val="004F69A5"/>
    <w:rsid w:val="004F73F8"/>
    <w:rsid w:val="004F7C7E"/>
    <w:rsid w:val="00503E78"/>
    <w:rsid w:val="00505412"/>
    <w:rsid w:val="0050719B"/>
    <w:rsid w:val="00507FD2"/>
    <w:rsid w:val="00510A80"/>
    <w:rsid w:val="00511068"/>
    <w:rsid w:val="00511A47"/>
    <w:rsid w:val="00512426"/>
    <w:rsid w:val="00513B09"/>
    <w:rsid w:val="00513D82"/>
    <w:rsid w:val="005149B3"/>
    <w:rsid w:val="00515195"/>
    <w:rsid w:val="0051660D"/>
    <w:rsid w:val="0052439E"/>
    <w:rsid w:val="00526A8D"/>
    <w:rsid w:val="00530BEE"/>
    <w:rsid w:val="00530E38"/>
    <w:rsid w:val="0053352E"/>
    <w:rsid w:val="0053365A"/>
    <w:rsid w:val="0053379F"/>
    <w:rsid w:val="00533A9F"/>
    <w:rsid w:val="00535486"/>
    <w:rsid w:val="00535AEF"/>
    <w:rsid w:val="00540D34"/>
    <w:rsid w:val="00540F4E"/>
    <w:rsid w:val="005421DE"/>
    <w:rsid w:val="005425AB"/>
    <w:rsid w:val="00545C49"/>
    <w:rsid w:val="00545DC2"/>
    <w:rsid w:val="005474F9"/>
    <w:rsid w:val="005477AA"/>
    <w:rsid w:val="0055037B"/>
    <w:rsid w:val="0055175F"/>
    <w:rsid w:val="00553C36"/>
    <w:rsid w:val="00553C7F"/>
    <w:rsid w:val="00554864"/>
    <w:rsid w:val="0055637B"/>
    <w:rsid w:val="00556A31"/>
    <w:rsid w:val="00560301"/>
    <w:rsid w:val="00560747"/>
    <w:rsid w:val="00563575"/>
    <w:rsid w:val="00565042"/>
    <w:rsid w:val="005655CB"/>
    <w:rsid w:val="005658B2"/>
    <w:rsid w:val="00566A31"/>
    <w:rsid w:val="00566C9F"/>
    <w:rsid w:val="005673F5"/>
    <w:rsid w:val="00567B35"/>
    <w:rsid w:val="00567F6C"/>
    <w:rsid w:val="00570181"/>
    <w:rsid w:val="00570C66"/>
    <w:rsid w:val="00573117"/>
    <w:rsid w:val="00573918"/>
    <w:rsid w:val="0057584A"/>
    <w:rsid w:val="005800B2"/>
    <w:rsid w:val="00580557"/>
    <w:rsid w:val="00581265"/>
    <w:rsid w:val="0058167E"/>
    <w:rsid w:val="00581B09"/>
    <w:rsid w:val="005826DF"/>
    <w:rsid w:val="00582EE7"/>
    <w:rsid w:val="005853BA"/>
    <w:rsid w:val="0058565D"/>
    <w:rsid w:val="0058746E"/>
    <w:rsid w:val="0058772A"/>
    <w:rsid w:val="00587E28"/>
    <w:rsid w:val="0059028F"/>
    <w:rsid w:val="005904AC"/>
    <w:rsid w:val="00590C93"/>
    <w:rsid w:val="00590D3C"/>
    <w:rsid w:val="00590D55"/>
    <w:rsid w:val="00592970"/>
    <w:rsid w:val="00592FE3"/>
    <w:rsid w:val="00593332"/>
    <w:rsid w:val="00593D60"/>
    <w:rsid w:val="00593E4D"/>
    <w:rsid w:val="005944EF"/>
    <w:rsid w:val="00594745"/>
    <w:rsid w:val="00594C68"/>
    <w:rsid w:val="00594F3F"/>
    <w:rsid w:val="00595F65"/>
    <w:rsid w:val="005963FE"/>
    <w:rsid w:val="005A1BFF"/>
    <w:rsid w:val="005A2F1C"/>
    <w:rsid w:val="005A2F56"/>
    <w:rsid w:val="005A3874"/>
    <w:rsid w:val="005A3FB7"/>
    <w:rsid w:val="005A3FDE"/>
    <w:rsid w:val="005A4B6B"/>
    <w:rsid w:val="005A64D6"/>
    <w:rsid w:val="005B12CA"/>
    <w:rsid w:val="005B17EF"/>
    <w:rsid w:val="005B1C04"/>
    <w:rsid w:val="005B35BA"/>
    <w:rsid w:val="005B3792"/>
    <w:rsid w:val="005B4B33"/>
    <w:rsid w:val="005B747B"/>
    <w:rsid w:val="005C2EE5"/>
    <w:rsid w:val="005C3605"/>
    <w:rsid w:val="005C3D0D"/>
    <w:rsid w:val="005C554C"/>
    <w:rsid w:val="005C5A1C"/>
    <w:rsid w:val="005C6283"/>
    <w:rsid w:val="005C67F0"/>
    <w:rsid w:val="005C6C00"/>
    <w:rsid w:val="005C6EF9"/>
    <w:rsid w:val="005C7776"/>
    <w:rsid w:val="005C7818"/>
    <w:rsid w:val="005D0822"/>
    <w:rsid w:val="005D0C19"/>
    <w:rsid w:val="005D17E1"/>
    <w:rsid w:val="005D1BB6"/>
    <w:rsid w:val="005D2388"/>
    <w:rsid w:val="005D45DD"/>
    <w:rsid w:val="005D5838"/>
    <w:rsid w:val="005D74AD"/>
    <w:rsid w:val="005E0174"/>
    <w:rsid w:val="005E071C"/>
    <w:rsid w:val="005E1D43"/>
    <w:rsid w:val="005E21E7"/>
    <w:rsid w:val="005E33A4"/>
    <w:rsid w:val="005E546B"/>
    <w:rsid w:val="005E616F"/>
    <w:rsid w:val="005E65CB"/>
    <w:rsid w:val="005E6AF7"/>
    <w:rsid w:val="005E70FB"/>
    <w:rsid w:val="005F1022"/>
    <w:rsid w:val="005F202B"/>
    <w:rsid w:val="005F4939"/>
    <w:rsid w:val="005F7FCA"/>
    <w:rsid w:val="006007C9"/>
    <w:rsid w:val="00603617"/>
    <w:rsid w:val="0060587A"/>
    <w:rsid w:val="00606D44"/>
    <w:rsid w:val="006077D3"/>
    <w:rsid w:val="00607AA1"/>
    <w:rsid w:val="00607F3E"/>
    <w:rsid w:val="006100EE"/>
    <w:rsid w:val="00611C52"/>
    <w:rsid w:val="0061259C"/>
    <w:rsid w:val="0061318E"/>
    <w:rsid w:val="00613B1D"/>
    <w:rsid w:val="0061551A"/>
    <w:rsid w:val="0061623D"/>
    <w:rsid w:val="00616472"/>
    <w:rsid w:val="00617ADA"/>
    <w:rsid w:val="0062088D"/>
    <w:rsid w:val="00621CC9"/>
    <w:rsid w:val="00622029"/>
    <w:rsid w:val="00623761"/>
    <w:rsid w:val="00625155"/>
    <w:rsid w:val="00626F45"/>
    <w:rsid w:val="006276B8"/>
    <w:rsid w:val="00631D64"/>
    <w:rsid w:val="00631D6C"/>
    <w:rsid w:val="0063416A"/>
    <w:rsid w:val="00636600"/>
    <w:rsid w:val="0063695E"/>
    <w:rsid w:val="0063729F"/>
    <w:rsid w:val="0063798A"/>
    <w:rsid w:val="00637F73"/>
    <w:rsid w:val="006424F0"/>
    <w:rsid w:val="0064612B"/>
    <w:rsid w:val="00646324"/>
    <w:rsid w:val="006472A0"/>
    <w:rsid w:val="00647665"/>
    <w:rsid w:val="00647711"/>
    <w:rsid w:val="00647AB2"/>
    <w:rsid w:val="006503D3"/>
    <w:rsid w:val="0065071D"/>
    <w:rsid w:val="00651AD7"/>
    <w:rsid w:val="0065211F"/>
    <w:rsid w:val="00652214"/>
    <w:rsid w:val="00662135"/>
    <w:rsid w:val="006624B7"/>
    <w:rsid w:val="006626EC"/>
    <w:rsid w:val="006628EB"/>
    <w:rsid w:val="00663302"/>
    <w:rsid w:val="00665880"/>
    <w:rsid w:val="00667826"/>
    <w:rsid w:val="0067275F"/>
    <w:rsid w:val="00672EBD"/>
    <w:rsid w:val="006775DD"/>
    <w:rsid w:val="006775F0"/>
    <w:rsid w:val="00680D65"/>
    <w:rsid w:val="00682219"/>
    <w:rsid w:val="00682825"/>
    <w:rsid w:val="00683696"/>
    <w:rsid w:val="00684BCB"/>
    <w:rsid w:val="0068614D"/>
    <w:rsid w:val="006867A3"/>
    <w:rsid w:val="00687DD9"/>
    <w:rsid w:val="00690E4D"/>
    <w:rsid w:val="00690FAD"/>
    <w:rsid w:val="00691D8D"/>
    <w:rsid w:val="006928DA"/>
    <w:rsid w:val="00692A06"/>
    <w:rsid w:val="00692EA8"/>
    <w:rsid w:val="00693C11"/>
    <w:rsid w:val="00694A91"/>
    <w:rsid w:val="006958CA"/>
    <w:rsid w:val="00696DA6"/>
    <w:rsid w:val="006A0B20"/>
    <w:rsid w:val="006A496E"/>
    <w:rsid w:val="006A65F4"/>
    <w:rsid w:val="006B468F"/>
    <w:rsid w:val="006B5C10"/>
    <w:rsid w:val="006B5EE6"/>
    <w:rsid w:val="006B79E2"/>
    <w:rsid w:val="006C04CB"/>
    <w:rsid w:val="006C08D2"/>
    <w:rsid w:val="006C0D2B"/>
    <w:rsid w:val="006C0EA1"/>
    <w:rsid w:val="006C35F9"/>
    <w:rsid w:val="006C38C5"/>
    <w:rsid w:val="006C4CC5"/>
    <w:rsid w:val="006C50BC"/>
    <w:rsid w:val="006C62F7"/>
    <w:rsid w:val="006C6583"/>
    <w:rsid w:val="006C7093"/>
    <w:rsid w:val="006D13E0"/>
    <w:rsid w:val="006D3004"/>
    <w:rsid w:val="006D3BA7"/>
    <w:rsid w:val="006D43F8"/>
    <w:rsid w:val="006D4801"/>
    <w:rsid w:val="006D5960"/>
    <w:rsid w:val="006D6E60"/>
    <w:rsid w:val="006D6FB6"/>
    <w:rsid w:val="006E0C71"/>
    <w:rsid w:val="006E2816"/>
    <w:rsid w:val="006E32C3"/>
    <w:rsid w:val="006E35AE"/>
    <w:rsid w:val="006E6942"/>
    <w:rsid w:val="006E6A11"/>
    <w:rsid w:val="006F10F3"/>
    <w:rsid w:val="006F36A0"/>
    <w:rsid w:val="006F490A"/>
    <w:rsid w:val="006F55E6"/>
    <w:rsid w:val="006F5D55"/>
    <w:rsid w:val="00700370"/>
    <w:rsid w:val="00700484"/>
    <w:rsid w:val="00700778"/>
    <w:rsid w:val="00700947"/>
    <w:rsid w:val="00701523"/>
    <w:rsid w:val="00701849"/>
    <w:rsid w:val="00701C2D"/>
    <w:rsid w:val="00702FAD"/>
    <w:rsid w:val="00704D9D"/>
    <w:rsid w:val="00704DB4"/>
    <w:rsid w:val="00707284"/>
    <w:rsid w:val="007101F5"/>
    <w:rsid w:val="00712950"/>
    <w:rsid w:val="00713873"/>
    <w:rsid w:val="0071464F"/>
    <w:rsid w:val="00714ACC"/>
    <w:rsid w:val="00714D7F"/>
    <w:rsid w:val="00714FE1"/>
    <w:rsid w:val="00716F83"/>
    <w:rsid w:val="00717459"/>
    <w:rsid w:val="007219F3"/>
    <w:rsid w:val="007244E3"/>
    <w:rsid w:val="00727274"/>
    <w:rsid w:val="00727988"/>
    <w:rsid w:val="007314C7"/>
    <w:rsid w:val="00731E1B"/>
    <w:rsid w:val="0073224A"/>
    <w:rsid w:val="00733A4A"/>
    <w:rsid w:val="00733F91"/>
    <w:rsid w:val="00735B89"/>
    <w:rsid w:val="00735D63"/>
    <w:rsid w:val="00735E95"/>
    <w:rsid w:val="007363D6"/>
    <w:rsid w:val="007365F6"/>
    <w:rsid w:val="00736C1C"/>
    <w:rsid w:val="00737C1A"/>
    <w:rsid w:val="00737E2A"/>
    <w:rsid w:val="00742E73"/>
    <w:rsid w:val="00747DCD"/>
    <w:rsid w:val="00747EE1"/>
    <w:rsid w:val="00753A6F"/>
    <w:rsid w:val="00753B37"/>
    <w:rsid w:val="007550CC"/>
    <w:rsid w:val="0075578B"/>
    <w:rsid w:val="00757AC9"/>
    <w:rsid w:val="00757C4D"/>
    <w:rsid w:val="00760E7B"/>
    <w:rsid w:val="007657E3"/>
    <w:rsid w:val="0076636B"/>
    <w:rsid w:val="00771D81"/>
    <w:rsid w:val="00771F0C"/>
    <w:rsid w:val="00772735"/>
    <w:rsid w:val="00772C4B"/>
    <w:rsid w:val="007744F6"/>
    <w:rsid w:val="00774685"/>
    <w:rsid w:val="00774D28"/>
    <w:rsid w:val="00775553"/>
    <w:rsid w:val="00776411"/>
    <w:rsid w:val="0077756A"/>
    <w:rsid w:val="007806F8"/>
    <w:rsid w:val="00780761"/>
    <w:rsid w:val="00780CF8"/>
    <w:rsid w:val="00781412"/>
    <w:rsid w:val="0078428A"/>
    <w:rsid w:val="00784490"/>
    <w:rsid w:val="007845A3"/>
    <w:rsid w:val="00784DEC"/>
    <w:rsid w:val="00785DC8"/>
    <w:rsid w:val="00787207"/>
    <w:rsid w:val="0078779D"/>
    <w:rsid w:val="0079247F"/>
    <w:rsid w:val="00792A65"/>
    <w:rsid w:val="007931C9"/>
    <w:rsid w:val="007944AA"/>
    <w:rsid w:val="00797D18"/>
    <w:rsid w:val="007A037E"/>
    <w:rsid w:val="007A1B9A"/>
    <w:rsid w:val="007A1FEC"/>
    <w:rsid w:val="007A38B5"/>
    <w:rsid w:val="007A4E14"/>
    <w:rsid w:val="007A50AC"/>
    <w:rsid w:val="007A5C2C"/>
    <w:rsid w:val="007A6C47"/>
    <w:rsid w:val="007B173A"/>
    <w:rsid w:val="007B1A75"/>
    <w:rsid w:val="007B251F"/>
    <w:rsid w:val="007B2687"/>
    <w:rsid w:val="007B6428"/>
    <w:rsid w:val="007B6F00"/>
    <w:rsid w:val="007B753F"/>
    <w:rsid w:val="007C0A39"/>
    <w:rsid w:val="007C0FC4"/>
    <w:rsid w:val="007C4082"/>
    <w:rsid w:val="007C48B4"/>
    <w:rsid w:val="007C51EB"/>
    <w:rsid w:val="007C637C"/>
    <w:rsid w:val="007C731C"/>
    <w:rsid w:val="007D0594"/>
    <w:rsid w:val="007D113C"/>
    <w:rsid w:val="007D153B"/>
    <w:rsid w:val="007D28BE"/>
    <w:rsid w:val="007D3673"/>
    <w:rsid w:val="007D3D74"/>
    <w:rsid w:val="007D4663"/>
    <w:rsid w:val="007D5C62"/>
    <w:rsid w:val="007D78E0"/>
    <w:rsid w:val="007E00E9"/>
    <w:rsid w:val="007E0FF4"/>
    <w:rsid w:val="007E322A"/>
    <w:rsid w:val="007E3A65"/>
    <w:rsid w:val="007E3D3D"/>
    <w:rsid w:val="007E4E9F"/>
    <w:rsid w:val="007E4F54"/>
    <w:rsid w:val="007E5841"/>
    <w:rsid w:val="007E7CC6"/>
    <w:rsid w:val="007F0967"/>
    <w:rsid w:val="007F0B88"/>
    <w:rsid w:val="007F47E9"/>
    <w:rsid w:val="007F4875"/>
    <w:rsid w:val="007F523D"/>
    <w:rsid w:val="007F5DA6"/>
    <w:rsid w:val="007F624D"/>
    <w:rsid w:val="007F6452"/>
    <w:rsid w:val="007F69D2"/>
    <w:rsid w:val="007F7F0C"/>
    <w:rsid w:val="0080060D"/>
    <w:rsid w:val="00802475"/>
    <w:rsid w:val="00804186"/>
    <w:rsid w:val="00804F08"/>
    <w:rsid w:val="00804F22"/>
    <w:rsid w:val="00804FB0"/>
    <w:rsid w:val="00805219"/>
    <w:rsid w:val="008053AC"/>
    <w:rsid w:val="008057C4"/>
    <w:rsid w:val="008075B6"/>
    <w:rsid w:val="00812EBE"/>
    <w:rsid w:val="008132E5"/>
    <w:rsid w:val="00813378"/>
    <w:rsid w:val="00814217"/>
    <w:rsid w:val="00814C86"/>
    <w:rsid w:val="00816837"/>
    <w:rsid w:val="00816F61"/>
    <w:rsid w:val="00820024"/>
    <w:rsid w:val="00820453"/>
    <w:rsid w:val="00821604"/>
    <w:rsid w:val="00821657"/>
    <w:rsid w:val="008222B6"/>
    <w:rsid w:val="00823366"/>
    <w:rsid w:val="00824DD9"/>
    <w:rsid w:val="00824EC7"/>
    <w:rsid w:val="00825FA7"/>
    <w:rsid w:val="00826DF9"/>
    <w:rsid w:val="00833606"/>
    <w:rsid w:val="00834252"/>
    <w:rsid w:val="00834B4C"/>
    <w:rsid w:val="00835D28"/>
    <w:rsid w:val="00836113"/>
    <w:rsid w:val="00836A4A"/>
    <w:rsid w:val="00837311"/>
    <w:rsid w:val="00837953"/>
    <w:rsid w:val="00840F4A"/>
    <w:rsid w:val="00841DB6"/>
    <w:rsid w:val="00842447"/>
    <w:rsid w:val="0084506F"/>
    <w:rsid w:val="00845B05"/>
    <w:rsid w:val="00846673"/>
    <w:rsid w:val="008523A0"/>
    <w:rsid w:val="00853A1E"/>
    <w:rsid w:val="0085443A"/>
    <w:rsid w:val="00855394"/>
    <w:rsid w:val="00856775"/>
    <w:rsid w:val="00857582"/>
    <w:rsid w:val="00862215"/>
    <w:rsid w:val="00865BAC"/>
    <w:rsid w:val="00870B5B"/>
    <w:rsid w:val="00871025"/>
    <w:rsid w:val="00871D4C"/>
    <w:rsid w:val="00872775"/>
    <w:rsid w:val="00872F09"/>
    <w:rsid w:val="00874C87"/>
    <w:rsid w:val="008763D7"/>
    <w:rsid w:val="0088419E"/>
    <w:rsid w:val="00884BED"/>
    <w:rsid w:val="00884CE6"/>
    <w:rsid w:val="00885284"/>
    <w:rsid w:val="00885B26"/>
    <w:rsid w:val="00887FF5"/>
    <w:rsid w:val="00892B89"/>
    <w:rsid w:val="008934B7"/>
    <w:rsid w:val="00894E2E"/>
    <w:rsid w:val="00897BEA"/>
    <w:rsid w:val="008A1359"/>
    <w:rsid w:val="008A17FA"/>
    <w:rsid w:val="008A1B1A"/>
    <w:rsid w:val="008A4394"/>
    <w:rsid w:val="008A7F0C"/>
    <w:rsid w:val="008B07CE"/>
    <w:rsid w:val="008B124A"/>
    <w:rsid w:val="008B1465"/>
    <w:rsid w:val="008B343F"/>
    <w:rsid w:val="008B3CE6"/>
    <w:rsid w:val="008B4AC6"/>
    <w:rsid w:val="008B4C62"/>
    <w:rsid w:val="008B5477"/>
    <w:rsid w:val="008B5A47"/>
    <w:rsid w:val="008B70C1"/>
    <w:rsid w:val="008B7B95"/>
    <w:rsid w:val="008C1154"/>
    <w:rsid w:val="008C13DB"/>
    <w:rsid w:val="008C695F"/>
    <w:rsid w:val="008C6B6E"/>
    <w:rsid w:val="008D21CD"/>
    <w:rsid w:val="008D2CE7"/>
    <w:rsid w:val="008D2FA8"/>
    <w:rsid w:val="008D32F7"/>
    <w:rsid w:val="008D54F6"/>
    <w:rsid w:val="008D5CF2"/>
    <w:rsid w:val="008D6CC2"/>
    <w:rsid w:val="008D730F"/>
    <w:rsid w:val="008E048D"/>
    <w:rsid w:val="008E1C4B"/>
    <w:rsid w:val="008E1D0C"/>
    <w:rsid w:val="008E362E"/>
    <w:rsid w:val="008E3754"/>
    <w:rsid w:val="008E3E21"/>
    <w:rsid w:val="008E564B"/>
    <w:rsid w:val="008E56F9"/>
    <w:rsid w:val="008E5704"/>
    <w:rsid w:val="008E6FBE"/>
    <w:rsid w:val="008E71BB"/>
    <w:rsid w:val="008F0351"/>
    <w:rsid w:val="008F074D"/>
    <w:rsid w:val="008F0931"/>
    <w:rsid w:val="008F0B42"/>
    <w:rsid w:val="008F1545"/>
    <w:rsid w:val="008F2388"/>
    <w:rsid w:val="008F2C63"/>
    <w:rsid w:val="008F2D93"/>
    <w:rsid w:val="008F2D98"/>
    <w:rsid w:val="008F36F5"/>
    <w:rsid w:val="008F410A"/>
    <w:rsid w:val="008F5B21"/>
    <w:rsid w:val="008F6D1D"/>
    <w:rsid w:val="008F74B9"/>
    <w:rsid w:val="008F74BE"/>
    <w:rsid w:val="008F791C"/>
    <w:rsid w:val="0090032E"/>
    <w:rsid w:val="00901683"/>
    <w:rsid w:val="00903072"/>
    <w:rsid w:val="009064F0"/>
    <w:rsid w:val="009069F5"/>
    <w:rsid w:val="009073D5"/>
    <w:rsid w:val="00907741"/>
    <w:rsid w:val="00910D43"/>
    <w:rsid w:val="00911B2F"/>
    <w:rsid w:val="00914743"/>
    <w:rsid w:val="00915C27"/>
    <w:rsid w:val="009200CC"/>
    <w:rsid w:val="0092037B"/>
    <w:rsid w:val="0092070E"/>
    <w:rsid w:val="00922D51"/>
    <w:rsid w:val="0092301A"/>
    <w:rsid w:val="0092338C"/>
    <w:rsid w:val="0092454A"/>
    <w:rsid w:val="00925EB7"/>
    <w:rsid w:val="00926019"/>
    <w:rsid w:val="00926419"/>
    <w:rsid w:val="009274DC"/>
    <w:rsid w:val="00927C2A"/>
    <w:rsid w:val="00927FB0"/>
    <w:rsid w:val="0093209A"/>
    <w:rsid w:val="009336B2"/>
    <w:rsid w:val="00933C1B"/>
    <w:rsid w:val="00937046"/>
    <w:rsid w:val="00937C65"/>
    <w:rsid w:val="00941DF8"/>
    <w:rsid w:val="00942DD8"/>
    <w:rsid w:val="00943307"/>
    <w:rsid w:val="00943831"/>
    <w:rsid w:val="00943B34"/>
    <w:rsid w:val="00944720"/>
    <w:rsid w:val="009467B5"/>
    <w:rsid w:val="00946B8D"/>
    <w:rsid w:val="0095014F"/>
    <w:rsid w:val="0095016B"/>
    <w:rsid w:val="00951127"/>
    <w:rsid w:val="00951A84"/>
    <w:rsid w:val="0095367C"/>
    <w:rsid w:val="00953EBC"/>
    <w:rsid w:val="009547EB"/>
    <w:rsid w:val="00954C05"/>
    <w:rsid w:val="00954CE7"/>
    <w:rsid w:val="00955F53"/>
    <w:rsid w:val="0095771E"/>
    <w:rsid w:val="00963ED3"/>
    <w:rsid w:val="00966443"/>
    <w:rsid w:val="00971FC4"/>
    <w:rsid w:val="0097284F"/>
    <w:rsid w:val="00972A08"/>
    <w:rsid w:val="00974EDC"/>
    <w:rsid w:val="0097712C"/>
    <w:rsid w:val="00977BED"/>
    <w:rsid w:val="0098077D"/>
    <w:rsid w:val="00981669"/>
    <w:rsid w:val="00981C22"/>
    <w:rsid w:val="00985081"/>
    <w:rsid w:val="00990743"/>
    <w:rsid w:val="009920C6"/>
    <w:rsid w:val="00992D8C"/>
    <w:rsid w:val="00994B26"/>
    <w:rsid w:val="00996A6B"/>
    <w:rsid w:val="00996D81"/>
    <w:rsid w:val="00997378"/>
    <w:rsid w:val="009A1025"/>
    <w:rsid w:val="009A3778"/>
    <w:rsid w:val="009A5413"/>
    <w:rsid w:val="009A73B5"/>
    <w:rsid w:val="009A7C6C"/>
    <w:rsid w:val="009A7F08"/>
    <w:rsid w:val="009B070B"/>
    <w:rsid w:val="009B0F7F"/>
    <w:rsid w:val="009B1414"/>
    <w:rsid w:val="009B19AF"/>
    <w:rsid w:val="009B2A74"/>
    <w:rsid w:val="009B364A"/>
    <w:rsid w:val="009B5800"/>
    <w:rsid w:val="009B5E98"/>
    <w:rsid w:val="009B69A3"/>
    <w:rsid w:val="009C0E72"/>
    <w:rsid w:val="009C19F0"/>
    <w:rsid w:val="009C27F9"/>
    <w:rsid w:val="009C31C1"/>
    <w:rsid w:val="009C3753"/>
    <w:rsid w:val="009C46B7"/>
    <w:rsid w:val="009C4F66"/>
    <w:rsid w:val="009C5472"/>
    <w:rsid w:val="009C55D7"/>
    <w:rsid w:val="009D0CDD"/>
    <w:rsid w:val="009D4A20"/>
    <w:rsid w:val="009D4B82"/>
    <w:rsid w:val="009D4FD8"/>
    <w:rsid w:val="009D6212"/>
    <w:rsid w:val="009D7778"/>
    <w:rsid w:val="009E366E"/>
    <w:rsid w:val="009E42F3"/>
    <w:rsid w:val="009E4D87"/>
    <w:rsid w:val="009E5C6A"/>
    <w:rsid w:val="009E698E"/>
    <w:rsid w:val="009E74CA"/>
    <w:rsid w:val="009F0E81"/>
    <w:rsid w:val="009F2222"/>
    <w:rsid w:val="009F2933"/>
    <w:rsid w:val="009F3CE6"/>
    <w:rsid w:val="009F4C3A"/>
    <w:rsid w:val="009F6AAA"/>
    <w:rsid w:val="00A0014F"/>
    <w:rsid w:val="00A0186A"/>
    <w:rsid w:val="00A0477E"/>
    <w:rsid w:val="00A059E9"/>
    <w:rsid w:val="00A06253"/>
    <w:rsid w:val="00A10F46"/>
    <w:rsid w:val="00A1152A"/>
    <w:rsid w:val="00A132EB"/>
    <w:rsid w:val="00A13E89"/>
    <w:rsid w:val="00A1618E"/>
    <w:rsid w:val="00A17247"/>
    <w:rsid w:val="00A17D76"/>
    <w:rsid w:val="00A21E7E"/>
    <w:rsid w:val="00A22EC6"/>
    <w:rsid w:val="00A23A43"/>
    <w:rsid w:val="00A23CB3"/>
    <w:rsid w:val="00A245B0"/>
    <w:rsid w:val="00A2470F"/>
    <w:rsid w:val="00A250F3"/>
    <w:rsid w:val="00A25F21"/>
    <w:rsid w:val="00A2721B"/>
    <w:rsid w:val="00A30803"/>
    <w:rsid w:val="00A3099E"/>
    <w:rsid w:val="00A30E75"/>
    <w:rsid w:val="00A31544"/>
    <w:rsid w:val="00A316E3"/>
    <w:rsid w:val="00A32864"/>
    <w:rsid w:val="00A33D02"/>
    <w:rsid w:val="00A34B6B"/>
    <w:rsid w:val="00A363FB"/>
    <w:rsid w:val="00A365F8"/>
    <w:rsid w:val="00A3670E"/>
    <w:rsid w:val="00A41B70"/>
    <w:rsid w:val="00A43580"/>
    <w:rsid w:val="00A4436D"/>
    <w:rsid w:val="00A45CD4"/>
    <w:rsid w:val="00A46608"/>
    <w:rsid w:val="00A47A76"/>
    <w:rsid w:val="00A5092C"/>
    <w:rsid w:val="00A50BD2"/>
    <w:rsid w:val="00A514AD"/>
    <w:rsid w:val="00A514C0"/>
    <w:rsid w:val="00A5267A"/>
    <w:rsid w:val="00A52A3F"/>
    <w:rsid w:val="00A53C44"/>
    <w:rsid w:val="00A53DDA"/>
    <w:rsid w:val="00A55D22"/>
    <w:rsid w:val="00A579EC"/>
    <w:rsid w:val="00A60F6E"/>
    <w:rsid w:val="00A61122"/>
    <w:rsid w:val="00A6197B"/>
    <w:rsid w:val="00A62B8A"/>
    <w:rsid w:val="00A703FE"/>
    <w:rsid w:val="00A72B80"/>
    <w:rsid w:val="00A72C58"/>
    <w:rsid w:val="00A73407"/>
    <w:rsid w:val="00A750E8"/>
    <w:rsid w:val="00A75722"/>
    <w:rsid w:val="00A80880"/>
    <w:rsid w:val="00A80AF6"/>
    <w:rsid w:val="00A8151D"/>
    <w:rsid w:val="00A81811"/>
    <w:rsid w:val="00A8242E"/>
    <w:rsid w:val="00A830FD"/>
    <w:rsid w:val="00A846F3"/>
    <w:rsid w:val="00A84914"/>
    <w:rsid w:val="00A867A2"/>
    <w:rsid w:val="00A868CD"/>
    <w:rsid w:val="00A869F2"/>
    <w:rsid w:val="00A86C93"/>
    <w:rsid w:val="00A907C8"/>
    <w:rsid w:val="00A909D0"/>
    <w:rsid w:val="00A9206B"/>
    <w:rsid w:val="00A93517"/>
    <w:rsid w:val="00A95356"/>
    <w:rsid w:val="00AA1255"/>
    <w:rsid w:val="00AA18C0"/>
    <w:rsid w:val="00AA1CEF"/>
    <w:rsid w:val="00AA245B"/>
    <w:rsid w:val="00AA280F"/>
    <w:rsid w:val="00AA3009"/>
    <w:rsid w:val="00AA3340"/>
    <w:rsid w:val="00AA36AA"/>
    <w:rsid w:val="00AA3811"/>
    <w:rsid w:val="00AA6347"/>
    <w:rsid w:val="00AA7629"/>
    <w:rsid w:val="00AB1472"/>
    <w:rsid w:val="00AB22F1"/>
    <w:rsid w:val="00AB251D"/>
    <w:rsid w:val="00AB2E9F"/>
    <w:rsid w:val="00AB4870"/>
    <w:rsid w:val="00AC0BD0"/>
    <w:rsid w:val="00AC0E56"/>
    <w:rsid w:val="00AC2740"/>
    <w:rsid w:val="00AC2F30"/>
    <w:rsid w:val="00AC3493"/>
    <w:rsid w:val="00AC6FD6"/>
    <w:rsid w:val="00AD109D"/>
    <w:rsid w:val="00AD3C3C"/>
    <w:rsid w:val="00AD54BB"/>
    <w:rsid w:val="00AD56AD"/>
    <w:rsid w:val="00AD69DB"/>
    <w:rsid w:val="00AD73E0"/>
    <w:rsid w:val="00AE1310"/>
    <w:rsid w:val="00AE1A24"/>
    <w:rsid w:val="00AE2FFA"/>
    <w:rsid w:val="00AE325E"/>
    <w:rsid w:val="00AE49AB"/>
    <w:rsid w:val="00AE4D03"/>
    <w:rsid w:val="00AE4FA2"/>
    <w:rsid w:val="00AE6A17"/>
    <w:rsid w:val="00AF029E"/>
    <w:rsid w:val="00AF0465"/>
    <w:rsid w:val="00AF1E4C"/>
    <w:rsid w:val="00AF38EC"/>
    <w:rsid w:val="00AF41E0"/>
    <w:rsid w:val="00AF5167"/>
    <w:rsid w:val="00AF6AA9"/>
    <w:rsid w:val="00B00BF4"/>
    <w:rsid w:val="00B01884"/>
    <w:rsid w:val="00B030F3"/>
    <w:rsid w:val="00B03577"/>
    <w:rsid w:val="00B05F3D"/>
    <w:rsid w:val="00B06039"/>
    <w:rsid w:val="00B060C2"/>
    <w:rsid w:val="00B06329"/>
    <w:rsid w:val="00B10443"/>
    <w:rsid w:val="00B10B6E"/>
    <w:rsid w:val="00B115AD"/>
    <w:rsid w:val="00B15382"/>
    <w:rsid w:val="00B15780"/>
    <w:rsid w:val="00B16C27"/>
    <w:rsid w:val="00B174ED"/>
    <w:rsid w:val="00B17F04"/>
    <w:rsid w:val="00B21206"/>
    <w:rsid w:val="00B23A97"/>
    <w:rsid w:val="00B2574A"/>
    <w:rsid w:val="00B30FF0"/>
    <w:rsid w:val="00B313EA"/>
    <w:rsid w:val="00B36C31"/>
    <w:rsid w:val="00B3791E"/>
    <w:rsid w:val="00B400FA"/>
    <w:rsid w:val="00B41ACE"/>
    <w:rsid w:val="00B46293"/>
    <w:rsid w:val="00B4643F"/>
    <w:rsid w:val="00B513C2"/>
    <w:rsid w:val="00B53E7F"/>
    <w:rsid w:val="00B5433B"/>
    <w:rsid w:val="00B5722B"/>
    <w:rsid w:val="00B57B73"/>
    <w:rsid w:val="00B57BF8"/>
    <w:rsid w:val="00B615C8"/>
    <w:rsid w:val="00B61834"/>
    <w:rsid w:val="00B61A5B"/>
    <w:rsid w:val="00B638F9"/>
    <w:rsid w:val="00B64BD7"/>
    <w:rsid w:val="00B64CB4"/>
    <w:rsid w:val="00B659E5"/>
    <w:rsid w:val="00B66FF1"/>
    <w:rsid w:val="00B67F1A"/>
    <w:rsid w:val="00B67F42"/>
    <w:rsid w:val="00B71C41"/>
    <w:rsid w:val="00B7292C"/>
    <w:rsid w:val="00B73BC0"/>
    <w:rsid w:val="00B757E1"/>
    <w:rsid w:val="00B762EF"/>
    <w:rsid w:val="00B766BD"/>
    <w:rsid w:val="00B802EB"/>
    <w:rsid w:val="00B826F3"/>
    <w:rsid w:val="00B83E07"/>
    <w:rsid w:val="00B84540"/>
    <w:rsid w:val="00B863D9"/>
    <w:rsid w:val="00B86B51"/>
    <w:rsid w:val="00B876FC"/>
    <w:rsid w:val="00B900AF"/>
    <w:rsid w:val="00B9038A"/>
    <w:rsid w:val="00B90FD8"/>
    <w:rsid w:val="00B91D5F"/>
    <w:rsid w:val="00B9388B"/>
    <w:rsid w:val="00B957C5"/>
    <w:rsid w:val="00BA1AD8"/>
    <w:rsid w:val="00BA264E"/>
    <w:rsid w:val="00BA46B7"/>
    <w:rsid w:val="00BA4CB9"/>
    <w:rsid w:val="00BA676E"/>
    <w:rsid w:val="00BA7BD7"/>
    <w:rsid w:val="00BB1749"/>
    <w:rsid w:val="00BB1E7C"/>
    <w:rsid w:val="00BB719C"/>
    <w:rsid w:val="00BB75D4"/>
    <w:rsid w:val="00BC1B91"/>
    <w:rsid w:val="00BC38E6"/>
    <w:rsid w:val="00BC3FBC"/>
    <w:rsid w:val="00BD0151"/>
    <w:rsid w:val="00BD1775"/>
    <w:rsid w:val="00BD2810"/>
    <w:rsid w:val="00BD506C"/>
    <w:rsid w:val="00BD5376"/>
    <w:rsid w:val="00BD6199"/>
    <w:rsid w:val="00BD7AD9"/>
    <w:rsid w:val="00BD7D3B"/>
    <w:rsid w:val="00BD7E78"/>
    <w:rsid w:val="00BE023A"/>
    <w:rsid w:val="00BE240F"/>
    <w:rsid w:val="00BE5CFD"/>
    <w:rsid w:val="00BE7525"/>
    <w:rsid w:val="00BE7862"/>
    <w:rsid w:val="00BF3637"/>
    <w:rsid w:val="00BF5838"/>
    <w:rsid w:val="00BF5ADF"/>
    <w:rsid w:val="00BF5CF2"/>
    <w:rsid w:val="00BF6338"/>
    <w:rsid w:val="00C002B0"/>
    <w:rsid w:val="00C0118B"/>
    <w:rsid w:val="00C01970"/>
    <w:rsid w:val="00C028DB"/>
    <w:rsid w:val="00C02B10"/>
    <w:rsid w:val="00C03623"/>
    <w:rsid w:val="00C04B6B"/>
    <w:rsid w:val="00C0535F"/>
    <w:rsid w:val="00C06599"/>
    <w:rsid w:val="00C078EE"/>
    <w:rsid w:val="00C07E35"/>
    <w:rsid w:val="00C11178"/>
    <w:rsid w:val="00C116AC"/>
    <w:rsid w:val="00C117F5"/>
    <w:rsid w:val="00C12960"/>
    <w:rsid w:val="00C136F5"/>
    <w:rsid w:val="00C137BF"/>
    <w:rsid w:val="00C13C5D"/>
    <w:rsid w:val="00C25787"/>
    <w:rsid w:val="00C257E3"/>
    <w:rsid w:val="00C25D76"/>
    <w:rsid w:val="00C25F4D"/>
    <w:rsid w:val="00C27E4F"/>
    <w:rsid w:val="00C3020D"/>
    <w:rsid w:val="00C30639"/>
    <w:rsid w:val="00C3089A"/>
    <w:rsid w:val="00C30FE0"/>
    <w:rsid w:val="00C31A4D"/>
    <w:rsid w:val="00C31C9C"/>
    <w:rsid w:val="00C3224F"/>
    <w:rsid w:val="00C32609"/>
    <w:rsid w:val="00C32F17"/>
    <w:rsid w:val="00C32F53"/>
    <w:rsid w:val="00C3433C"/>
    <w:rsid w:val="00C34EF8"/>
    <w:rsid w:val="00C3591D"/>
    <w:rsid w:val="00C36394"/>
    <w:rsid w:val="00C40639"/>
    <w:rsid w:val="00C4129F"/>
    <w:rsid w:val="00C475FC"/>
    <w:rsid w:val="00C506ED"/>
    <w:rsid w:val="00C50FB1"/>
    <w:rsid w:val="00C51F9C"/>
    <w:rsid w:val="00C54FBB"/>
    <w:rsid w:val="00C57475"/>
    <w:rsid w:val="00C61BB7"/>
    <w:rsid w:val="00C62264"/>
    <w:rsid w:val="00C62CA2"/>
    <w:rsid w:val="00C63EC4"/>
    <w:rsid w:val="00C679CE"/>
    <w:rsid w:val="00C67D59"/>
    <w:rsid w:val="00C67F3B"/>
    <w:rsid w:val="00C71049"/>
    <w:rsid w:val="00C713D4"/>
    <w:rsid w:val="00C71CFA"/>
    <w:rsid w:val="00C71F9B"/>
    <w:rsid w:val="00C72318"/>
    <w:rsid w:val="00C73728"/>
    <w:rsid w:val="00C74917"/>
    <w:rsid w:val="00C80832"/>
    <w:rsid w:val="00C81CC5"/>
    <w:rsid w:val="00C82C32"/>
    <w:rsid w:val="00C82D06"/>
    <w:rsid w:val="00C844B0"/>
    <w:rsid w:val="00C845A0"/>
    <w:rsid w:val="00C86AFE"/>
    <w:rsid w:val="00C92776"/>
    <w:rsid w:val="00C93E59"/>
    <w:rsid w:val="00C94455"/>
    <w:rsid w:val="00C963D7"/>
    <w:rsid w:val="00C97BD5"/>
    <w:rsid w:val="00CA049F"/>
    <w:rsid w:val="00CA329C"/>
    <w:rsid w:val="00CA384C"/>
    <w:rsid w:val="00CA3ABF"/>
    <w:rsid w:val="00CA3D7A"/>
    <w:rsid w:val="00CA3EC5"/>
    <w:rsid w:val="00CA7064"/>
    <w:rsid w:val="00CB46AC"/>
    <w:rsid w:val="00CB7E00"/>
    <w:rsid w:val="00CC22A6"/>
    <w:rsid w:val="00CC2637"/>
    <w:rsid w:val="00CC313F"/>
    <w:rsid w:val="00CC39E3"/>
    <w:rsid w:val="00CC45A5"/>
    <w:rsid w:val="00CC51AF"/>
    <w:rsid w:val="00CC520E"/>
    <w:rsid w:val="00CC628E"/>
    <w:rsid w:val="00CC7097"/>
    <w:rsid w:val="00CD1C92"/>
    <w:rsid w:val="00CD1EA9"/>
    <w:rsid w:val="00CD3628"/>
    <w:rsid w:val="00CD3C90"/>
    <w:rsid w:val="00CD42DC"/>
    <w:rsid w:val="00CD5FF8"/>
    <w:rsid w:val="00CD717F"/>
    <w:rsid w:val="00CE23A4"/>
    <w:rsid w:val="00CE32BE"/>
    <w:rsid w:val="00CE4E29"/>
    <w:rsid w:val="00CE6ADC"/>
    <w:rsid w:val="00CE77D1"/>
    <w:rsid w:val="00CE7858"/>
    <w:rsid w:val="00CF1F72"/>
    <w:rsid w:val="00CF2506"/>
    <w:rsid w:val="00CF41F7"/>
    <w:rsid w:val="00CF4761"/>
    <w:rsid w:val="00CF548B"/>
    <w:rsid w:val="00CF5C64"/>
    <w:rsid w:val="00CF625F"/>
    <w:rsid w:val="00CF6E8F"/>
    <w:rsid w:val="00D001D3"/>
    <w:rsid w:val="00D01222"/>
    <w:rsid w:val="00D016D4"/>
    <w:rsid w:val="00D039A1"/>
    <w:rsid w:val="00D045A4"/>
    <w:rsid w:val="00D047CD"/>
    <w:rsid w:val="00D05A09"/>
    <w:rsid w:val="00D0731A"/>
    <w:rsid w:val="00D07B46"/>
    <w:rsid w:val="00D1219F"/>
    <w:rsid w:val="00D12CA4"/>
    <w:rsid w:val="00D132D7"/>
    <w:rsid w:val="00D144CA"/>
    <w:rsid w:val="00D14DBD"/>
    <w:rsid w:val="00D15597"/>
    <w:rsid w:val="00D15743"/>
    <w:rsid w:val="00D15A70"/>
    <w:rsid w:val="00D2002E"/>
    <w:rsid w:val="00D21500"/>
    <w:rsid w:val="00D21B2F"/>
    <w:rsid w:val="00D23A61"/>
    <w:rsid w:val="00D301CF"/>
    <w:rsid w:val="00D30BA3"/>
    <w:rsid w:val="00D3172D"/>
    <w:rsid w:val="00D32D26"/>
    <w:rsid w:val="00D33E50"/>
    <w:rsid w:val="00D35276"/>
    <w:rsid w:val="00D357E9"/>
    <w:rsid w:val="00D361D7"/>
    <w:rsid w:val="00D36605"/>
    <w:rsid w:val="00D3680A"/>
    <w:rsid w:val="00D377B9"/>
    <w:rsid w:val="00D41195"/>
    <w:rsid w:val="00D44478"/>
    <w:rsid w:val="00D46281"/>
    <w:rsid w:val="00D46781"/>
    <w:rsid w:val="00D46999"/>
    <w:rsid w:val="00D46DD8"/>
    <w:rsid w:val="00D46F42"/>
    <w:rsid w:val="00D518D7"/>
    <w:rsid w:val="00D51B17"/>
    <w:rsid w:val="00D52383"/>
    <w:rsid w:val="00D533E0"/>
    <w:rsid w:val="00D54975"/>
    <w:rsid w:val="00D54D3E"/>
    <w:rsid w:val="00D5508F"/>
    <w:rsid w:val="00D55A1B"/>
    <w:rsid w:val="00D579A1"/>
    <w:rsid w:val="00D60985"/>
    <w:rsid w:val="00D6379B"/>
    <w:rsid w:val="00D63F81"/>
    <w:rsid w:val="00D6413A"/>
    <w:rsid w:val="00D64AAB"/>
    <w:rsid w:val="00D6635B"/>
    <w:rsid w:val="00D66B18"/>
    <w:rsid w:val="00D66B2D"/>
    <w:rsid w:val="00D67B3E"/>
    <w:rsid w:val="00D70475"/>
    <w:rsid w:val="00D704B5"/>
    <w:rsid w:val="00D7084A"/>
    <w:rsid w:val="00D807FE"/>
    <w:rsid w:val="00D80A0F"/>
    <w:rsid w:val="00D815B8"/>
    <w:rsid w:val="00D845B4"/>
    <w:rsid w:val="00D87F1C"/>
    <w:rsid w:val="00D91A48"/>
    <w:rsid w:val="00D9256C"/>
    <w:rsid w:val="00D93CB8"/>
    <w:rsid w:val="00D944A4"/>
    <w:rsid w:val="00D94B78"/>
    <w:rsid w:val="00D94CC7"/>
    <w:rsid w:val="00D94D4E"/>
    <w:rsid w:val="00D95A29"/>
    <w:rsid w:val="00D95D14"/>
    <w:rsid w:val="00D9705B"/>
    <w:rsid w:val="00D976F1"/>
    <w:rsid w:val="00D97AD3"/>
    <w:rsid w:val="00DA1B2B"/>
    <w:rsid w:val="00DA1E71"/>
    <w:rsid w:val="00DA2466"/>
    <w:rsid w:val="00DA2973"/>
    <w:rsid w:val="00DA39C7"/>
    <w:rsid w:val="00DA586E"/>
    <w:rsid w:val="00DA5BD0"/>
    <w:rsid w:val="00DA640F"/>
    <w:rsid w:val="00DA6F84"/>
    <w:rsid w:val="00DB0AC0"/>
    <w:rsid w:val="00DB4E6F"/>
    <w:rsid w:val="00DB5B71"/>
    <w:rsid w:val="00DB71AD"/>
    <w:rsid w:val="00DC0015"/>
    <w:rsid w:val="00DC1654"/>
    <w:rsid w:val="00DC1B2A"/>
    <w:rsid w:val="00DC3483"/>
    <w:rsid w:val="00DC7695"/>
    <w:rsid w:val="00DD0341"/>
    <w:rsid w:val="00DD12BA"/>
    <w:rsid w:val="00DD15E9"/>
    <w:rsid w:val="00DD2702"/>
    <w:rsid w:val="00DD2BED"/>
    <w:rsid w:val="00DD2C68"/>
    <w:rsid w:val="00DD2E11"/>
    <w:rsid w:val="00DD3935"/>
    <w:rsid w:val="00DD4635"/>
    <w:rsid w:val="00DD56B4"/>
    <w:rsid w:val="00DD5DBA"/>
    <w:rsid w:val="00DD6A35"/>
    <w:rsid w:val="00DD754B"/>
    <w:rsid w:val="00DD7803"/>
    <w:rsid w:val="00DD7C4F"/>
    <w:rsid w:val="00DE05A0"/>
    <w:rsid w:val="00DE0CDB"/>
    <w:rsid w:val="00DE222C"/>
    <w:rsid w:val="00DE2DAE"/>
    <w:rsid w:val="00DE31E9"/>
    <w:rsid w:val="00DE370E"/>
    <w:rsid w:val="00DE4186"/>
    <w:rsid w:val="00DE5950"/>
    <w:rsid w:val="00DE6AAB"/>
    <w:rsid w:val="00DE79EC"/>
    <w:rsid w:val="00DE7ED2"/>
    <w:rsid w:val="00DF1F7B"/>
    <w:rsid w:val="00DF25E5"/>
    <w:rsid w:val="00DF57FA"/>
    <w:rsid w:val="00DF665F"/>
    <w:rsid w:val="00E01EE6"/>
    <w:rsid w:val="00E024D3"/>
    <w:rsid w:val="00E02BE1"/>
    <w:rsid w:val="00E038AD"/>
    <w:rsid w:val="00E0500E"/>
    <w:rsid w:val="00E05618"/>
    <w:rsid w:val="00E05A96"/>
    <w:rsid w:val="00E112E1"/>
    <w:rsid w:val="00E13228"/>
    <w:rsid w:val="00E13AAE"/>
    <w:rsid w:val="00E14BED"/>
    <w:rsid w:val="00E17DCD"/>
    <w:rsid w:val="00E2037F"/>
    <w:rsid w:val="00E20D16"/>
    <w:rsid w:val="00E20E71"/>
    <w:rsid w:val="00E21E19"/>
    <w:rsid w:val="00E22A08"/>
    <w:rsid w:val="00E23BBF"/>
    <w:rsid w:val="00E24BF5"/>
    <w:rsid w:val="00E24DCC"/>
    <w:rsid w:val="00E26233"/>
    <w:rsid w:val="00E30B98"/>
    <w:rsid w:val="00E30E4D"/>
    <w:rsid w:val="00E31153"/>
    <w:rsid w:val="00E31991"/>
    <w:rsid w:val="00E31C80"/>
    <w:rsid w:val="00E32C48"/>
    <w:rsid w:val="00E35A9E"/>
    <w:rsid w:val="00E43856"/>
    <w:rsid w:val="00E43ACE"/>
    <w:rsid w:val="00E44A57"/>
    <w:rsid w:val="00E44A5F"/>
    <w:rsid w:val="00E45568"/>
    <w:rsid w:val="00E47AA1"/>
    <w:rsid w:val="00E47CC5"/>
    <w:rsid w:val="00E50ADE"/>
    <w:rsid w:val="00E50EEF"/>
    <w:rsid w:val="00E541B6"/>
    <w:rsid w:val="00E5426D"/>
    <w:rsid w:val="00E55456"/>
    <w:rsid w:val="00E56DCD"/>
    <w:rsid w:val="00E56FA3"/>
    <w:rsid w:val="00E57DA7"/>
    <w:rsid w:val="00E6163D"/>
    <w:rsid w:val="00E630F6"/>
    <w:rsid w:val="00E64E43"/>
    <w:rsid w:val="00E65D79"/>
    <w:rsid w:val="00E74F34"/>
    <w:rsid w:val="00E755F7"/>
    <w:rsid w:val="00E76AB0"/>
    <w:rsid w:val="00E77460"/>
    <w:rsid w:val="00E80DF0"/>
    <w:rsid w:val="00E86AE9"/>
    <w:rsid w:val="00E87CB7"/>
    <w:rsid w:val="00E948C4"/>
    <w:rsid w:val="00E9516F"/>
    <w:rsid w:val="00E96257"/>
    <w:rsid w:val="00E96D07"/>
    <w:rsid w:val="00EA02AB"/>
    <w:rsid w:val="00EA085C"/>
    <w:rsid w:val="00EA18F3"/>
    <w:rsid w:val="00EA1C8B"/>
    <w:rsid w:val="00EA215F"/>
    <w:rsid w:val="00EA3B42"/>
    <w:rsid w:val="00EA519D"/>
    <w:rsid w:val="00EA5EBC"/>
    <w:rsid w:val="00EA60A6"/>
    <w:rsid w:val="00EA6B65"/>
    <w:rsid w:val="00EB05C5"/>
    <w:rsid w:val="00EB1058"/>
    <w:rsid w:val="00EB2F5C"/>
    <w:rsid w:val="00EC064A"/>
    <w:rsid w:val="00EC0C18"/>
    <w:rsid w:val="00EC2AF2"/>
    <w:rsid w:val="00EC38B3"/>
    <w:rsid w:val="00EC4B4D"/>
    <w:rsid w:val="00EC4C0D"/>
    <w:rsid w:val="00EC586D"/>
    <w:rsid w:val="00EC7BEF"/>
    <w:rsid w:val="00EC7FBA"/>
    <w:rsid w:val="00ED1441"/>
    <w:rsid w:val="00ED1EB0"/>
    <w:rsid w:val="00ED1FC4"/>
    <w:rsid w:val="00ED40B4"/>
    <w:rsid w:val="00ED4A7B"/>
    <w:rsid w:val="00ED4F9C"/>
    <w:rsid w:val="00ED67D3"/>
    <w:rsid w:val="00EE0423"/>
    <w:rsid w:val="00EE0C4E"/>
    <w:rsid w:val="00EE1262"/>
    <w:rsid w:val="00EE1B17"/>
    <w:rsid w:val="00EE1B6A"/>
    <w:rsid w:val="00EE1D03"/>
    <w:rsid w:val="00EE509D"/>
    <w:rsid w:val="00EE54A0"/>
    <w:rsid w:val="00EE6F26"/>
    <w:rsid w:val="00EF2000"/>
    <w:rsid w:val="00EF34B9"/>
    <w:rsid w:val="00EF3DF5"/>
    <w:rsid w:val="00EF4757"/>
    <w:rsid w:val="00EF4839"/>
    <w:rsid w:val="00EF4BB6"/>
    <w:rsid w:val="00EF5427"/>
    <w:rsid w:val="00EF54A7"/>
    <w:rsid w:val="00F02B72"/>
    <w:rsid w:val="00F04C47"/>
    <w:rsid w:val="00F05DBF"/>
    <w:rsid w:val="00F05DEC"/>
    <w:rsid w:val="00F06E1E"/>
    <w:rsid w:val="00F1045E"/>
    <w:rsid w:val="00F11A30"/>
    <w:rsid w:val="00F123A1"/>
    <w:rsid w:val="00F15B23"/>
    <w:rsid w:val="00F17777"/>
    <w:rsid w:val="00F23B2D"/>
    <w:rsid w:val="00F23C37"/>
    <w:rsid w:val="00F23E8F"/>
    <w:rsid w:val="00F241DA"/>
    <w:rsid w:val="00F24471"/>
    <w:rsid w:val="00F25B5D"/>
    <w:rsid w:val="00F25EF1"/>
    <w:rsid w:val="00F303DC"/>
    <w:rsid w:val="00F30BAB"/>
    <w:rsid w:val="00F31B80"/>
    <w:rsid w:val="00F31EF1"/>
    <w:rsid w:val="00F32A75"/>
    <w:rsid w:val="00F333D6"/>
    <w:rsid w:val="00F339DD"/>
    <w:rsid w:val="00F34C71"/>
    <w:rsid w:val="00F34F60"/>
    <w:rsid w:val="00F3761E"/>
    <w:rsid w:val="00F379A1"/>
    <w:rsid w:val="00F41506"/>
    <w:rsid w:val="00F41E30"/>
    <w:rsid w:val="00F42181"/>
    <w:rsid w:val="00F43300"/>
    <w:rsid w:val="00F43A89"/>
    <w:rsid w:val="00F4604D"/>
    <w:rsid w:val="00F47490"/>
    <w:rsid w:val="00F50721"/>
    <w:rsid w:val="00F50A2C"/>
    <w:rsid w:val="00F52056"/>
    <w:rsid w:val="00F525A2"/>
    <w:rsid w:val="00F52865"/>
    <w:rsid w:val="00F52CC0"/>
    <w:rsid w:val="00F55196"/>
    <w:rsid w:val="00F56052"/>
    <w:rsid w:val="00F57979"/>
    <w:rsid w:val="00F63557"/>
    <w:rsid w:val="00F652AD"/>
    <w:rsid w:val="00F65DE9"/>
    <w:rsid w:val="00F6658F"/>
    <w:rsid w:val="00F66AC6"/>
    <w:rsid w:val="00F6714E"/>
    <w:rsid w:val="00F674D4"/>
    <w:rsid w:val="00F702F7"/>
    <w:rsid w:val="00F70443"/>
    <w:rsid w:val="00F7195C"/>
    <w:rsid w:val="00F76605"/>
    <w:rsid w:val="00F7733A"/>
    <w:rsid w:val="00F81A3A"/>
    <w:rsid w:val="00F84987"/>
    <w:rsid w:val="00F84F1C"/>
    <w:rsid w:val="00F864D3"/>
    <w:rsid w:val="00F90910"/>
    <w:rsid w:val="00F90C7B"/>
    <w:rsid w:val="00F91ED8"/>
    <w:rsid w:val="00F93F35"/>
    <w:rsid w:val="00F9470F"/>
    <w:rsid w:val="00F954D8"/>
    <w:rsid w:val="00FA0534"/>
    <w:rsid w:val="00FA0B3A"/>
    <w:rsid w:val="00FA1C85"/>
    <w:rsid w:val="00FA2564"/>
    <w:rsid w:val="00FA2A18"/>
    <w:rsid w:val="00FA337E"/>
    <w:rsid w:val="00FA3D9F"/>
    <w:rsid w:val="00FA43C0"/>
    <w:rsid w:val="00FA641F"/>
    <w:rsid w:val="00FA670D"/>
    <w:rsid w:val="00FA747A"/>
    <w:rsid w:val="00FA79E4"/>
    <w:rsid w:val="00FB0789"/>
    <w:rsid w:val="00FB1C06"/>
    <w:rsid w:val="00FB27AC"/>
    <w:rsid w:val="00FB35C4"/>
    <w:rsid w:val="00FB48DA"/>
    <w:rsid w:val="00FB4C32"/>
    <w:rsid w:val="00FB70FE"/>
    <w:rsid w:val="00FB7AC3"/>
    <w:rsid w:val="00FB7E39"/>
    <w:rsid w:val="00FC10F7"/>
    <w:rsid w:val="00FC4074"/>
    <w:rsid w:val="00FC5075"/>
    <w:rsid w:val="00FC51F8"/>
    <w:rsid w:val="00FC5BAF"/>
    <w:rsid w:val="00FC63F4"/>
    <w:rsid w:val="00FC6D5B"/>
    <w:rsid w:val="00FD0567"/>
    <w:rsid w:val="00FD070B"/>
    <w:rsid w:val="00FD0AAD"/>
    <w:rsid w:val="00FD145C"/>
    <w:rsid w:val="00FD1A71"/>
    <w:rsid w:val="00FD3DF4"/>
    <w:rsid w:val="00FD4C1F"/>
    <w:rsid w:val="00FD56A0"/>
    <w:rsid w:val="00FE3CF8"/>
    <w:rsid w:val="00FE7A0E"/>
    <w:rsid w:val="00FF0288"/>
    <w:rsid w:val="00FF1CAA"/>
    <w:rsid w:val="00FF3F3C"/>
    <w:rsid w:val="00FF3FEB"/>
    <w:rsid w:val="00FF616D"/>
    <w:rsid w:val="04FC4620"/>
    <w:rsid w:val="060F475A"/>
    <w:rsid w:val="083B0B52"/>
    <w:rsid w:val="0F8604B9"/>
    <w:rsid w:val="1147007A"/>
    <w:rsid w:val="17BA58ED"/>
    <w:rsid w:val="18B87B35"/>
    <w:rsid w:val="218C2A79"/>
    <w:rsid w:val="2D412ADF"/>
    <w:rsid w:val="2E9E3CC1"/>
    <w:rsid w:val="2FA454DE"/>
    <w:rsid w:val="30CC5E2E"/>
    <w:rsid w:val="34C6727E"/>
    <w:rsid w:val="36ED5288"/>
    <w:rsid w:val="37200994"/>
    <w:rsid w:val="3A2C24FB"/>
    <w:rsid w:val="3A9020E3"/>
    <w:rsid w:val="49D42F6B"/>
    <w:rsid w:val="4E127782"/>
    <w:rsid w:val="4FBF7C8C"/>
    <w:rsid w:val="59845F1A"/>
    <w:rsid w:val="5BF810BC"/>
    <w:rsid w:val="5F105BBF"/>
    <w:rsid w:val="603C41E4"/>
    <w:rsid w:val="65C63F74"/>
    <w:rsid w:val="6D7B2DCE"/>
    <w:rsid w:val="756B6CE8"/>
    <w:rsid w:val="76435EF3"/>
    <w:rsid w:val="76B023BA"/>
    <w:rsid w:val="76B25119"/>
    <w:rsid w:val="786A5631"/>
    <w:rsid w:val="796D64D2"/>
    <w:rsid w:val="7DD17B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03"/>
    <w:autoRedefine/>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07"/>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112"/>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124"/>
    <w:autoRedefine/>
    <w:qFormat/>
    <w:uiPriority w:val="0"/>
    <w:pPr>
      <w:keepNext/>
      <w:keepLines/>
      <w:spacing w:before="240" w:after="64" w:line="320" w:lineRule="auto"/>
      <w:outlineLvl w:val="6"/>
    </w:pPr>
    <w:rPr>
      <w:b/>
      <w:bCs/>
      <w:sz w:val="24"/>
    </w:rPr>
  </w:style>
  <w:style w:type="paragraph" w:styleId="10">
    <w:name w:val="heading 8"/>
    <w:basedOn w:val="1"/>
    <w:next w:val="1"/>
    <w:link w:val="108"/>
    <w:autoRedefine/>
    <w:qFormat/>
    <w:uiPriority w:val="0"/>
    <w:pPr>
      <w:keepNext/>
      <w:keepLines/>
      <w:spacing w:before="240" w:after="64" w:line="320" w:lineRule="auto"/>
      <w:outlineLvl w:val="7"/>
    </w:pPr>
    <w:rPr>
      <w:rFonts w:ascii="Cambria" w:hAnsi="Cambria"/>
      <w:sz w:val="24"/>
    </w:rPr>
  </w:style>
  <w:style w:type="paragraph" w:styleId="11">
    <w:name w:val="heading 9"/>
    <w:basedOn w:val="1"/>
    <w:next w:val="1"/>
    <w:link w:val="104"/>
    <w:autoRedefine/>
    <w:qFormat/>
    <w:uiPriority w:val="0"/>
    <w:pPr>
      <w:keepNext/>
      <w:keepLines/>
      <w:spacing w:before="240" w:after="64" w:line="320" w:lineRule="auto"/>
      <w:outlineLvl w:val="8"/>
    </w:pPr>
    <w:rPr>
      <w:rFonts w:ascii="Cambria" w:hAnsi="Cambria"/>
      <w:szCs w:val="21"/>
    </w:rPr>
  </w:style>
  <w:style w:type="character" w:default="1" w:styleId="90">
    <w:name w:val="Default Paragraph Font"/>
    <w:autoRedefine/>
    <w:semiHidden/>
    <w:qFormat/>
    <w:uiPriority w:val="0"/>
  </w:style>
  <w:style w:type="table" w:default="1" w:styleId="88">
    <w:name w:val="Normal Table"/>
    <w:autoRedefine/>
    <w:semiHidden/>
    <w:qFormat/>
    <w:uiPriority w:val="0"/>
    <w:tblPr>
      <w:tblCellMar>
        <w:top w:w="0" w:type="dxa"/>
        <w:left w:w="108" w:type="dxa"/>
        <w:bottom w:w="0" w:type="dxa"/>
        <w:right w:w="108" w:type="dxa"/>
      </w:tblCellMar>
    </w:tblPr>
  </w:style>
  <w:style w:type="paragraph" w:styleId="2">
    <w:name w:val="macro"/>
    <w:link w:val="123"/>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contextualSpacing/>
    </w:pPr>
  </w:style>
  <w:style w:type="paragraph" w:styleId="13">
    <w:name w:val="toc 7"/>
    <w:basedOn w:val="1"/>
    <w:next w:val="1"/>
    <w:autoRedefine/>
    <w:semiHidden/>
    <w:qFormat/>
    <w:uiPriority w:val="0"/>
    <w:pPr>
      <w:ind w:left="1260"/>
      <w:jc w:val="left"/>
    </w:pPr>
    <w:rPr>
      <w:sz w:val="20"/>
      <w:szCs w:val="20"/>
    </w:rPr>
  </w:style>
  <w:style w:type="paragraph" w:styleId="14">
    <w:name w:val="List Number 2"/>
    <w:basedOn w:val="1"/>
    <w:autoRedefine/>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01"/>
    <w:autoRedefine/>
    <w:qFormat/>
    <w:uiPriority w:val="0"/>
    <w:pPr>
      <w:jc w:val="center"/>
    </w:pPr>
  </w:style>
  <w:style w:type="paragraph" w:styleId="17">
    <w:name w:val="List Bullet 4"/>
    <w:basedOn w:val="1"/>
    <w:autoRedefine/>
    <w:qFormat/>
    <w:uiPriority w:val="0"/>
    <w:pPr>
      <w:numPr>
        <w:ilvl w:val="0"/>
        <w:numId w:val="2"/>
      </w:numPr>
      <w:contextualSpacing/>
    </w:pPr>
  </w:style>
  <w:style w:type="paragraph" w:styleId="18">
    <w:name w:val="index 8"/>
    <w:basedOn w:val="1"/>
    <w:next w:val="1"/>
    <w:autoRedefine/>
    <w:qFormat/>
    <w:uiPriority w:val="0"/>
    <w:pPr>
      <w:ind w:left="1400" w:leftChars="1400"/>
    </w:pPr>
  </w:style>
  <w:style w:type="paragraph" w:styleId="19">
    <w:name w:val="E-mail Signature"/>
    <w:basedOn w:val="1"/>
    <w:link w:val="113"/>
    <w:autoRedefine/>
    <w:qFormat/>
    <w:uiPriority w:val="0"/>
  </w:style>
  <w:style w:type="paragraph" w:styleId="20">
    <w:name w:val="List Number"/>
    <w:basedOn w:val="1"/>
    <w:autoRedefine/>
    <w:qFormat/>
    <w:uiPriority w:val="0"/>
    <w:pPr>
      <w:numPr>
        <w:ilvl w:val="0"/>
        <w:numId w:val="3"/>
      </w:numPr>
      <w:contextualSpacing/>
    </w:pPr>
  </w:style>
  <w:style w:type="paragraph" w:styleId="21">
    <w:name w:val="Normal Indent"/>
    <w:basedOn w:val="1"/>
    <w:autoRedefine/>
    <w:qFormat/>
    <w:uiPriority w:val="0"/>
    <w:pPr>
      <w:ind w:firstLine="420" w:firstLineChars="200"/>
    </w:pPr>
  </w:style>
  <w:style w:type="paragraph" w:styleId="22">
    <w:name w:val="caption"/>
    <w:basedOn w:val="1"/>
    <w:next w:val="1"/>
    <w:autoRedefine/>
    <w:qFormat/>
    <w:uiPriority w:val="0"/>
    <w:rPr>
      <w:rFonts w:ascii="Cambria" w:hAnsi="Cambria" w:eastAsia="黑体" w:cs="Times New Roman"/>
      <w:sz w:val="20"/>
      <w:szCs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qFormat/>
    <w:uiPriority w:val="0"/>
    <w:pPr>
      <w:framePr w:w="7920" w:h="1980" w:hRule="exact" w:hSpace="180" w:wrap="around" w:vAnchor="margin" w:hAnchor="page" w:xAlign="center" w:yAlign="bottom"/>
      <w:snapToGrid w:val="0"/>
      <w:ind w:left="100" w:leftChars="1400"/>
    </w:pPr>
    <w:rPr>
      <w:rFonts w:ascii="Cambria" w:hAnsi="Cambria" w:eastAsia="宋体" w:cs="Times New Roman"/>
      <w:sz w:val="24"/>
    </w:rPr>
  </w:style>
  <w:style w:type="paragraph" w:styleId="26">
    <w:name w:val="Document Map"/>
    <w:basedOn w:val="1"/>
    <w:autoRedefine/>
    <w:semiHidden/>
    <w:qFormat/>
    <w:uiPriority w:val="0"/>
    <w:pPr>
      <w:shd w:val="clear" w:color="auto" w:fill="000080"/>
    </w:pPr>
  </w:style>
  <w:style w:type="paragraph" w:styleId="27">
    <w:name w:val="toa heading"/>
    <w:basedOn w:val="1"/>
    <w:next w:val="1"/>
    <w:autoRedefine/>
    <w:qFormat/>
    <w:uiPriority w:val="0"/>
    <w:pPr>
      <w:spacing w:before="120"/>
    </w:pPr>
    <w:rPr>
      <w:rFonts w:ascii="Cambria" w:hAnsi="Cambria" w:cs="Times New Roman"/>
      <w:sz w:val="24"/>
    </w:rPr>
  </w:style>
  <w:style w:type="paragraph" w:styleId="28">
    <w:name w:val="annotation text"/>
    <w:basedOn w:val="1"/>
    <w:autoRedefine/>
    <w:semiHidden/>
    <w:qFormat/>
    <w:uiPriority w:val="0"/>
    <w:pPr>
      <w:jc w:val="left"/>
    </w:pPr>
  </w:style>
  <w:style w:type="paragraph" w:styleId="29">
    <w:name w:val="index 6"/>
    <w:basedOn w:val="1"/>
    <w:next w:val="1"/>
    <w:autoRedefine/>
    <w:qFormat/>
    <w:uiPriority w:val="0"/>
    <w:pPr>
      <w:ind w:left="1000" w:leftChars="1000"/>
    </w:pPr>
  </w:style>
  <w:style w:type="paragraph" w:styleId="30">
    <w:name w:val="Salutation"/>
    <w:basedOn w:val="1"/>
    <w:next w:val="1"/>
    <w:link w:val="126"/>
    <w:autoRedefine/>
    <w:qFormat/>
    <w:uiPriority w:val="0"/>
  </w:style>
  <w:style w:type="paragraph" w:styleId="31">
    <w:name w:val="Body Text 3"/>
    <w:basedOn w:val="1"/>
    <w:link w:val="97"/>
    <w:autoRedefine/>
    <w:qFormat/>
    <w:uiPriority w:val="0"/>
    <w:pPr>
      <w:spacing w:after="120"/>
    </w:pPr>
    <w:rPr>
      <w:sz w:val="16"/>
      <w:szCs w:val="16"/>
    </w:rPr>
  </w:style>
  <w:style w:type="paragraph" w:styleId="32">
    <w:name w:val="Closing"/>
    <w:basedOn w:val="1"/>
    <w:link w:val="118"/>
    <w:autoRedefine/>
    <w:qFormat/>
    <w:uiPriority w:val="0"/>
    <w:pPr>
      <w:ind w:left="100" w:leftChars="2100"/>
    </w:pPr>
  </w:style>
  <w:style w:type="paragraph" w:styleId="33">
    <w:name w:val="List Bullet 3"/>
    <w:basedOn w:val="1"/>
    <w:autoRedefine/>
    <w:qFormat/>
    <w:uiPriority w:val="0"/>
    <w:pPr>
      <w:numPr>
        <w:ilvl w:val="0"/>
        <w:numId w:val="5"/>
      </w:numPr>
      <w:contextualSpacing/>
    </w:pPr>
  </w:style>
  <w:style w:type="paragraph" w:styleId="34">
    <w:name w:val="Body Text"/>
    <w:basedOn w:val="1"/>
    <w:link w:val="100"/>
    <w:autoRedefine/>
    <w:qFormat/>
    <w:uiPriority w:val="0"/>
    <w:pPr>
      <w:spacing w:after="120"/>
    </w:pPr>
  </w:style>
  <w:style w:type="paragraph" w:styleId="35">
    <w:name w:val="Body Text Indent"/>
    <w:basedOn w:val="1"/>
    <w:link w:val="102"/>
    <w:autoRedefine/>
    <w:qFormat/>
    <w:uiPriority w:val="0"/>
    <w:pPr>
      <w:spacing w:after="120"/>
      <w:ind w:left="420" w:leftChars="200"/>
    </w:pPr>
  </w:style>
  <w:style w:type="paragraph" w:styleId="36">
    <w:name w:val="List Number 3"/>
    <w:basedOn w:val="1"/>
    <w:autoRedefine/>
    <w:qFormat/>
    <w:uiPriority w:val="0"/>
    <w:pPr>
      <w:numPr>
        <w:ilvl w:val="0"/>
        <w:numId w:val="6"/>
      </w:numPr>
      <w:contextualSpacing/>
    </w:pPr>
  </w:style>
  <w:style w:type="paragraph" w:styleId="37">
    <w:name w:val="List 2"/>
    <w:basedOn w:val="1"/>
    <w:autoRedefine/>
    <w:qFormat/>
    <w:uiPriority w:val="0"/>
    <w:pPr>
      <w:ind w:left="100" w:leftChars="200" w:hanging="200" w:hangingChars="200"/>
      <w:contextualSpacing/>
    </w:pPr>
  </w:style>
  <w:style w:type="paragraph" w:styleId="38">
    <w:name w:val="List Continue"/>
    <w:basedOn w:val="1"/>
    <w:autoRedefine/>
    <w:qFormat/>
    <w:uiPriority w:val="0"/>
    <w:pPr>
      <w:spacing w:after="120"/>
      <w:ind w:left="420" w:leftChars="200"/>
      <w:contextualSpacing/>
    </w:pPr>
  </w:style>
  <w:style w:type="paragraph" w:styleId="39">
    <w:name w:val="Block Text"/>
    <w:basedOn w:val="1"/>
    <w:autoRedefine/>
    <w:qFormat/>
    <w:uiPriority w:val="0"/>
    <w:pPr>
      <w:spacing w:after="120"/>
      <w:ind w:left="1440" w:leftChars="700" w:right="1440" w:rightChars="700"/>
    </w:pPr>
  </w:style>
  <w:style w:type="paragraph" w:styleId="40">
    <w:name w:val="List Bullet 2"/>
    <w:basedOn w:val="1"/>
    <w:autoRedefine/>
    <w:qFormat/>
    <w:uiPriority w:val="0"/>
    <w:pPr>
      <w:numPr>
        <w:ilvl w:val="0"/>
        <w:numId w:val="7"/>
      </w:numPr>
      <w:contextualSpacing/>
    </w:pPr>
  </w:style>
  <w:style w:type="paragraph" w:styleId="41">
    <w:name w:val="HTML Address"/>
    <w:basedOn w:val="1"/>
    <w:link w:val="122"/>
    <w:autoRedefine/>
    <w:qFormat/>
    <w:uiPriority w:val="0"/>
    <w:rPr>
      <w:i/>
      <w:iCs/>
    </w:rPr>
  </w:style>
  <w:style w:type="paragraph" w:styleId="42">
    <w:name w:val="index 4"/>
    <w:basedOn w:val="1"/>
    <w:next w:val="1"/>
    <w:autoRedefine/>
    <w:qFormat/>
    <w:uiPriority w:val="0"/>
    <w:pPr>
      <w:ind w:left="600" w:leftChars="600"/>
    </w:pPr>
  </w:style>
  <w:style w:type="paragraph" w:styleId="43">
    <w:name w:val="toc 5"/>
    <w:basedOn w:val="1"/>
    <w:next w:val="1"/>
    <w:autoRedefine/>
    <w:semiHidden/>
    <w:qFormat/>
    <w:uiPriority w:val="0"/>
    <w:pPr>
      <w:ind w:left="840"/>
      <w:jc w:val="left"/>
    </w:pPr>
    <w:rPr>
      <w:sz w:val="20"/>
      <w:szCs w:val="20"/>
    </w:rPr>
  </w:style>
  <w:style w:type="paragraph" w:styleId="44">
    <w:name w:val="toc 3"/>
    <w:basedOn w:val="1"/>
    <w:next w:val="1"/>
    <w:autoRedefine/>
    <w:semiHidden/>
    <w:qFormat/>
    <w:uiPriority w:val="0"/>
    <w:pPr>
      <w:ind w:left="420"/>
      <w:jc w:val="left"/>
    </w:pPr>
    <w:rPr>
      <w:sz w:val="20"/>
      <w:szCs w:val="20"/>
    </w:rPr>
  </w:style>
  <w:style w:type="paragraph" w:styleId="45">
    <w:name w:val="Plain Text"/>
    <w:basedOn w:val="1"/>
    <w:autoRedefine/>
    <w:qFormat/>
    <w:uiPriority w:val="0"/>
    <w:rPr>
      <w:rFonts w:ascii="宋体" w:hAnsi="Courier New"/>
    </w:rPr>
  </w:style>
  <w:style w:type="paragraph" w:styleId="46">
    <w:name w:val="List Bullet 5"/>
    <w:basedOn w:val="1"/>
    <w:autoRedefine/>
    <w:qFormat/>
    <w:uiPriority w:val="0"/>
    <w:pPr>
      <w:numPr>
        <w:ilvl w:val="0"/>
        <w:numId w:val="8"/>
      </w:numPr>
      <w:contextualSpacing/>
    </w:pPr>
  </w:style>
  <w:style w:type="paragraph" w:styleId="47">
    <w:name w:val="List Number 4"/>
    <w:basedOn w:val="1"/>
    <w:autoRedefine/>
    <w:qFormat/>
    <w:uiPriority w:val="0"/>
    <w:pPr>
      <w:numPr>
        <w:ilvl w:val="0"/>
        <w:numId w:val="9"/>
      </w:numPr>
      <w:contextualSpacing/>
    </w:pPr>
  </w:style>
  <w:style w:type="paragraph" w:styleId="48">
    <w:name w:val="toc 8"/>
    <w:basedOn w:val="1"/>
    <w:next w:val="1"/>
    <w:autoRedefine/>
    <w:semiHidden/>
    <w:qFormat/>
    <w:uiPriority w:val="0"/>
    <w:pPr>
      <w:ind w:left="1470"/>
      <w:jc w:val="left"/>
    </w:pPr>
    <w:rPr>
      <w:sz w:val="20"/>
      <w:szCs w:val="20"/>
    </w:rPr>
  </w:style>
  <w:style w:type="paragraph" w:styleId="49">
    <w:name w:val="index 3"/>
    <w:basedOn w:val="1"/>
    <w:next w:val="1"/>
    <w:autoRedefine/>
    <w:qFormat/>
    <w:uiPriority w:val="0"/>
    <w:pPr>
      <w:ind w:left="400" w:leftChars="400"/>
    </w:pPr>
  </w:style>
  <w:style w:type="paragraph" w:styleId="50">
    <w:name w:val="Date"/>
    <w:basedOn w:val="1"/>
    <w:next w:val="1"/>
    <w:link w:val="116"/>
    <w:autoRedefine/>
    <w:qFormat/>
    <w:uiPriority w:val="0"/>
    <w:pPr>
      <w:ind w:left="100" w:leftChars="2500"/>
    </w:pPr>
  </w:style>
  <w:style w:type="paragraph" w:styleId="51">
    <w:name w:val="Body Text Indent 2"/>
    <w:basedOn w:val="1"/>
    <w:link w:val="117"/>
    <w:autoRedefine/>
    <w:qFormat/>
    <w:uiPriority w:val="0"/>
    <w:pPr>
      <w:spacing w:after="120" w:line="480" w:lineRule="auto"/>
      <w:ind w:left="420" w:leftChars="200"/>
    </w:pPr>
  </w:style>
  <w:style w:type="paragraph" w:styleId="52">
    <w:name w:val="endnote text"/>
    <w:basedOn w:val="1"/>
    <w:link w:val="121"/>
    <w:autoRedefine/>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autoRedefine/>
    <w:semiHidden/>
    <w:qFormat/>
    <w:uiPriority w:val="0"/>
    <w:rPr>
      <w:sz w:val="18"/>
      <w:szCs w:val="18"/>
    </w:rPr>
  </w:style>
  <w:style w:type="paragraph" w:styleId="55">
    <w:name w:val="footer"/>
    <w:basedOn w:val="1"/>
    <w:autoRedefine/>
    <w:qFormat/>
    <w:uiPriority w:val="0"/>
    <w:pPr>
      <w:tabs>
        <w:tab w:val="center" w:pos="4153"/>
        <w:tab w:val="right" w:pos="8306"/>
      </w:tabs>
      <w:snapToGrid w:val="0"/>
      <w:jc w:val="left"/>
    </w:pPr>
    <w:rPr>
      <w:sz w:val="18"/>
      <w:szCs w:val="18"/>
    </w:rPr>
  </w:style>
  <w:style w:type="paragraph" w:styleId="56">
    <w:name w:val="envelope return"/>
    <w:basedOn w:val="1"/>
    <w:autoRedefine/>
    <w:qFormat/>
    <w:uiPriority w:val="0"/>
    <w:pPr>
      <w:snapToGrid w:val="0"/>
    </w:pPr>
    <w:rPr>
      <w:rFonts w:ascii="Cambria" w:hAnsi="Cambria" w:eastAsia="宋体" w:cs="Times New Roman"/>
    </w:rPr>
  </w:style>
  <w:style w:type="paragraph" w:styleId="5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95"/>
    <w:autoRedefine/>
    <w:qFormat/>
    <w:uiPriority w:val="0"/>
    <w:pPr>
      <w:ind w:left="100" w:leftChars="2100"/>
    </w:pPr>
  </w:style>
  <w:style w:type="paragraph" w:styleId="59">
    <w:name w:val="toc 1"/>
    <w:basedOn w:val="1"/>
    <w:next w:val="1"/>
    <w:autoRedefine/>
    <w:qFormat/>
    <w:uiPriority w:val="39"/>
    <w:pPr>
      <w:tabs>
        <w:tab w:val="left" w:pos="540"/>
        <w:tab w:val="right" w:leader="dot" w:pos="4867"/>
      </w:tabs>
      <w:spacing w:before="240" w:after="120"/>
      <w:jc w:val="left"/>
    </w:pPr>
    <w:rPr>
      <w:b/>
      <w:bCs/>
      <w:sz w:val="20"/>
      <w:szCs w:val="20"/>
    </w:rPr>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qFormat/>
    <w:uiPriority w:val="0"/>
    <w:pPr>
      <w:ind w:left="630"/>
      <w:jc w:val="left"/>
    </w:pPr>
    <w:rPr>
      <w:sz w:val="20"/>
      <w:szCs w:val="20"/>
    </w:rPr>
  </w:style>
  <w:style w:type="paragraph" w:styleId="62">
    <w:name w:val="index heading"/>
    <w:basedOn w:val="1"/>
    <w:next w:val="63"/>
    <w:autoRedefine/>
    <w:qFormat/>
    <w:uiPriority w:val="0"/>
    <w:rPr>
      <w:rFonts w:ascii="Cambria" w:hAnsi="Cambria" w:eastAsia="宋体" w:cs="Times New Roman"/>
      <w:b/>
      <w:bCs/>
    </w:rPr>
  </w:style>
  <w:style w:type="paragraph" w:styleId="63">
    <w:name w:val="index 1"/>
    <w:basedOn w:val="1"/>
    <w:next w:val="1"/>
    <w:autoRedefine/>
    <w:qFormat/>
    <w:uiPriority w:val="0"/>
  </w:style>
  <w:style w:type="paragraph" w:styleId="64">
    <w:name w:val="Subtitle"/>
    <w:basedOn w:val="1"/>
    <w:next w:val="1"/>
    <w:link w:val="109"/>
    <w:autoRedefine/>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autoRedefine/>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1"/>
    <w:autoRedefine/>
    <w:qFormat/>
    <w:uiPriority w:val="0"/>
    <w:pPr>
      <w:snapToGrid w:val="0"/>
      <w:jc w:val="left"/>
    </w:pPr>
    <w:rPr>
      <w:sz w:val="18"/>
      <w:szCs w:val="18"/>
    </w:rPr>
  </w:style>
  <w:style w:type="paragraph" w:styleId="68">
    <w:name w:val="toc 6"/>
    <w:basedOn w:val="1"/>
    <w:next w:val="1"/>
    <w:autoRedefine/>
    <w:semiHidden/>
    <w:qFormat/>
    <w:uiPriority w:val="0"/>
    <w:pPr>
      <w:ind w:left="1050"/>
      <w:jc w:val="left"/>
    </w:pPr>
    <w:rPr>
      <w:sz w:val="20"/>
      <w:szCs w:val="20"/>
    </w:rPr>
  </w:style>
  <w:style w:type="paragraph" w:styleId="69">
    <w:name w:val="List 5"/>
    <w:basedOn w:val="1"/>
    <w:autoRedefine/>
    <w:qFormat/>
    <w:uiPriority w:val="0"/>
    <w:pPr>
      <w:ind w:left="100" w:leftChars="800" w:hanging="200" w:hangingChars="200"/>
      <w:contextualSpacing/>
    </w:pPr>
  </w:style>
  <w:style w:type="paragraph" w:styleId="70">
    <w:name w:val="Body Text Indent 3"/>
    <w:basedOn w:val="1"/>
    <w:link w:val="125"/>
    <w:autoRedefine/>
    <w:qFormat/>
    <w:uiPriority w:val="0"/>
    <w:pPr>
      <w:spacing w:after="120"/>
      <w:ind w:left="420" w:leftChars="200"/>
    </w:pPr>
    <w:rPr>
      <w:sz w:val="16"/>
      <w:szCs w:val="16"/>
    </w:rPr>
  </w:style>
  <w:style w:type="paragraph" w:styleId="71">
    <w:name w:val="index 7"/>
    <w:basedOn w:val="1"/>
    <w:next w:val="1"/>
    <w:autoRedefine/>
    <w:qFormat/>
    <w:uiPriority w:val="0"/>
    <w:pPr>
      <w:ind w:left="1200" w:leftChars="1200"/>
    </w:pPr>
  </w:style>
  <w:style w:type="paragraph" w:styleId="72">
    <w:name w:val="index 9"/>
    <w:basedOn w:val="1"/>
    <w:next w:val="1"/>
    <w:autoRedefine/>
    <w:qFormat/>
    <w:uiPriority w:val="0"/>
    <w:pPr>
      <w:ind w:left="1600" w:leftChars="1600"/>
    </w:pPr>
  </w:style>
  <w:style w:type="paragraph" w:styleId="73">
    <w:name w:val="table of figures"/>
    <w:basedOn w:val="1"/>
    <w:next w:val="1"/>
    <w:autoRedefine/>
    <w:qFormat/>
    <w:uiPriority w:val="0"/>
    <w:pPr>
      <w:ind w:leftChars="200" w:hanging="200" w:hangingChars="200"/>
    </w:pPr>
  </w:style>
  <w:style w:type="paragraph" w:styleId="74">
    <w:name w:val="toc 2"/>
    <w:basedOn w:val="1"/>
    <w:next w:val="1"/>
    <w:autoRedefine/>
    <w:qFormat/>
    <w:uiPriority w:val="39"/>
    <w:pPr>
      <w:tabs>
        <w:tab w:val="left" w:pos="840"/>
        <w:tab w:val="right" w:leader="dot" w:pos="4867"/>
      </w:tabs>
      <w:spacing w:before="60" w:line="312" w:lineRule="auto"/>
      <w:ind w:left="719" w:leftChars="86" w:hanging="538" w:hangingChars="269"/>
      <w:jc w:val="left"/>
    </w:pPr>
    <w:rPr>
      <w:iCs/>
      <w:sz w:val="20"/>
      <w:szCs w:val="20"/>
    </w:rPr>
  </w:style>
  <w:style w:type="paragraph" w:styleId="75">
    <w:name w:val="toc 9"/>
    <w:basedOn w:val="1"/>
    <w:next w:val="1"/>
    <w:autoRedefine/>
    <w:semiHidden/>
    <w:qFormat/>
    <w:uiPriority w:val="0"/>
    <w:pPr>
      <w:ind w:left="1680"/>
      <w:jc w:val="left"/>
    </w:pPr>
    <w:rPr>
      <w:sz w:val="20"/>
      <w:szCs w:val="20"/>
    </w:rPr>
  </w:style>
  <w:style w:type="paragraph" w:styleId="76">
    <w:name w:val="Body Text 2"/>
    <w:basedOn w:val="1"/>
    <w:link w:val="96"/>
    <w:autoRedefine/>
    <w:qFormat/>
    <w:uiPriority w:val="0"/>
    <w:pPr>
      <w:spacing w:after="120" w:line="480" w:lineRule="auto"/>
    </w:pPr>
  </w:style>
  <w:style w:type="paragraph" w:styleId="77">
    <w:name w:val="List 4"/>
    <w:basedOn w:val="1"/>
    <w:autoRedefine/>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98"/>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105"/>
    <w:autoRedefine/>
    <w:qFormat/>
    <w:uiPriority w:val="0"/>
    <w:rPr>
      <w:rFonts w:ascii="Courier New" w:hAnsi="Courier New"/>
      <w:sz w:val="20"/>
      <w:szCs w:val="20"/>
    </w:rPr>
  </w:style>
  <w:style w:type="paragraph" w:styleId="81">
    <w:name w:val="Normal (Web)"/>
    <w:basedOn w:val="1"/>
    <w:autoRedefine/>
    <w:qFormat/>
    <w:uiPriority w:val="99"/>
    <w:rPr>
      <w:sz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qFormat/>
    <w:uiPriority w:val="0"/>
    <w:pPr>
      <w:ind w:left="200" w:leftChars="200"/>
    </w:pPr>
  </w:style>
  <w:style w:type="paragraph" w:styleId="84">
    <w:name w:val="Title"/>
    <w:basedOn w:val="1"/>
    <w:next w:val="1"/>
    <w:link w:val="110"/>
    <w:autoRedefine/>
    <w:qFormat/>
    <w:uiPriority w:val="0"/>
    <w:pPr>
      <w:spacing w:before="240" w:after="60"/>
      <w:jc w:val="center"/>
      <w:outlineLvl w:val="0"/>
    </w:pPr>
    <w:rPr>
      <w:rFonts w:ascii="Cambria" w:hAnsi="Cambria"/>
      <w:b/>
      <w:bCs/>
      <w:sz w:val="32"/>
      <w:szCs w:val="32"/>
    </w:rPr>
  </w:style>
  <w:style w:type="paragraph" w:styleId="85">
    <w:name w:val="annotation subject"/>
    <w:basedOn w:val="28"/>
    <w:next w:val="28"/>
    <w:autoRedefine/>
    <w:semiHidden/>
    <w:qFormat/>
    <w:uiPriority w:val="0"/>
    <w:rPr>
      <w:b/>
      <w:bCs/>
    </w:rPr>
  </w:style>
  <w:style w:type="paragraph" w:styleId="86">
    <w:name w:val="Body Text First Indent"/>
    <w:basedOn w:val="34"/>
    <w:link w:val="99"/>
    <w:autoRedefine/>
    <w:qFormat/>
    <w:uiPriority w:val="0"/>
    <w:pPr>
      <w:ind w:firstLine="420" w:firstLineChars="100"/>
    </w:pPr>
  </w:style>
  <w:style w:type="paragraph" w:styleId="87">
    <w:name w:val="Body Text First Indent 2"/>
    <w:basedOn w:val="35"/>
    <w:link w:val="106"/>
    <w:autoRedefine/>
    <w:qFormat/>
    <w:uiPriority w:val="0"/>
    <w:pPr>
      <w:ind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autoRedefine/>
    <w:qFormat/>
    <w:uiPriority w:val="22"/>
    <w:rPr>
      <w:b/>
      <w:bCs/>
    </w:rPr>
  </w:style>
  <w:style w:type="character" w:styleId="92">
    <w:name w:val="page number"/>
    <w:basedOn w:val="90"/>
    <w:autoRedefine/>
    <w:qFormat/>
    <w:uiPriority w:val="0"/>
  </w:style>
  <w:style w:type="character" w:styleId="93">
    <w:name w:val="Hyperlink"/>
    <w:autoRedefine/>
    <w:qFormat/>
    <w:uiPriority w:val="99"/>
    <w:rPr>
      <w:color w:val="0000FF"/>
      <w:u w:val="single"/>
    </w:rPr>
  </w:style>
  <w:style w:type="character" w:styleId="94">
    <w:name w:val="annotation reference"/>
    <w:autoRedefine/>
    <w:semiHidden/>
    <w:qFormat/>
    <w:uiPriority w:val="0"/>
    <w:rPr>
      <w:sz w:val="21"/>
      <w:szCs w:val="21"/>
    </w:rPr>
  </w:style>
  <w:style w:type="character" w:customStyle="1" w:styleId="95">
    <w:name w:val="签名 Char"/>
    <w:link w:val="58"/>
    <w:autoRedefine/>
    <w:qFormat/>
    <w:uiPriority w:val="0"/>
    <w:rPr>
      <w:kern w:val="2"/>
      <w:sz w:val="21"/>
      <w:szCs w:val="24"/>
    </w:rPr>
  </w:style>
  <w:style w:type="character" w:customStyle="1" w:styleId="96">
    <w:name w:val="正文文本 2 Char"/>
    <w:link w:val="76"/>
    <w:autoRedefine/>
    <w:qFormat/>
    <w:uiPriority w:val="0"/>
    <w:rPr>
      <w:kern w:val="2"/>
      <w:sz w:val="21"/>
      <w:szCs w:val="24"/>
    </w:rPr>
  </w:style>
  <w:style w:type="character" w:customStyle="1" w:styleId="97">
    <w:name w:val="正文文本 3 Char"/>
    <w:link w:val="31"/>
    <w:autoRedefine/>
    <w:qFormat/>
    <w:uiPriority w:val="0"/>
    <w:rPr>
      <w:kern w:val="2"/>
      <w:sz w:val="16"/>
      <w:szCs w:val="16"/>
    </w:rPr>
  </w:style>
  <w:style w:type="character" w:customStyle="1" w:styleId="98">
    <w:name w:val="信息标题 Char"/>
    <w:link w:val="79"/>
    <w:autoRedefine/>
    <w:qFormat/>
    <w:uiPriority w:val="0"/>
    <w:rPr>
      <w:rFonts w:ascii="Cambria" w:hAnsi="Cambria" w:eastAsia="宋体" w:cs="Times New Roman"/>
      <w:kern w:val="2"/>
      <w:sz w:val="24"/>
      <w:szCs w:val="24"/>
      <w:shd w:val="pct20" w:color="auto" w:fill="auto"/>
    </w:rPr>
  </w:style>
  <w:style w:type="character" w:customStyle="1" w:styleId="99">
    <w:name w:val="正文首行缩进 Char"/>
    <w:basedOn w:val="100"/>
    <w:link w:val="86"/>
    <w:autoRedefine/>
    <w:qFormat/>
    <w:uiPriority w:val="0"/>
  </w:style>
  <w:style w:type="character" w:customStyle="1" w:styleId="100">
    <w:name w:val="正文文本 Char"/>
    <w:link w:val="34"/>
    <w:autoRedefine/>
    <w:qFormat/>
    <w:uiPriority w:val="0"/>
    <w:rPr>
      <w:kern w:val="2"/>
      <w:sz w:val="21"/>
      <w:szCs w:val="24"/>
    </w:rPr>
  </w:style>
  <w:style w:type="character" w:customStyle="1" w:styleId="101">
    <w:name w:val="注释标题 Char"/>
    <w:link w:val="16"/>
    <w:autoRedefine/>
    <w:qFormat/>
    <w:uiPriority w:val="0"/>
    <w:rPr>
      <w:kern w:val="2"/>
      <w:sz w:val="21"/>
      <w:szCs w:val="24"/>
    </w:rPr>
  </w:style>
  <w:style w:type="character" w:customStyle="1" w:styleId="102">
    <w:name w:val="正文文本缩进 Char"/>
    <w:link w:val="35"/>
    <w:autoRedefine/>
    <w:qFormat/>
    <w:uiPriority w:val="0"/>
    <w:rPr>
      <w:kern w:val="2"/>
      <w:sz w:val="21"/>
      <w:szCs w:val="24"/>
    </w:rPr>
  </w:style>
  <w:style w:type="character" w:customStyle="1" w:styleId="103">
    <w:name w:val="标题 4 Char"/>
    <w:link w:val="6"/>
    <w:autoRedefine/>
    <w:semiHidden/>
    <w:qFormat/>
    <w:uiPriority w:val="0"/>
    <w:rPr>
      <w:rFonts w:ascii="Cambria" w:hAnsi="Cambria" w:eastAsia="宋体" w:cs="Times New Roman"/>
      <w:b/>
      <w:bCs/>
      <w:kern w:val="2"/>
      <w:sz w:val="28"/>
      <w:szCs w:val="28"/>
    </w:rPr>
  </w:style>
  <w:style w:type="character" w:customStyle="1" w:styleId="104">
    <w:name w:val="标题 9 Char"/>
    <w:link w:val="11"/>
    <w:autoRedefine/>
    <w:semiHidden/>
    <w:qFormat/>
    <w:uiPriority w:val="0"/>
    <w:rPr>
      <w:rFonts w:ascii="Cambria" w:hAnsi="Cambria" w:eastAsia="宋体" w:cs="Times New Roman"/>
      <w:kern w:val="2"/>
      <w:sz w:val="21"/>
      <w:szCs w:val="21"/>
    </w:rPr>
  </w:style>
  <w:style w:type="character" w:customStyle="1" w:styleId="105">
    <w:name w:val="HTML 预设格式 Char"/>
    <w:link w:val="80"/>
    <w:autoRedefine/>
    <w:qFormat/>
    <w:uiPriority w:val="0"/>
    <w:rPr>
      <w:rFonts w:ascii="Courier New" w:hAnsi="Courier New" w:cs="Courier New"/>
      <w:kern w:val="2"/>
    </w:rPr>
  </w:style>
  <w:style w:type="character" w:customStyle="1" w:styleId="106">
    <w:name w:val="正文首行缩进 2 Char"/>
    <w:basedOn w:val="102"/>
    <w:link w:val="87"/>
    <w:autoRedefine/>
    <w:qFormat/>
    <w:uiPriority w:val="0"/>
  </w:style>
  <w:style w:type="character" w:customStyle="1" w:styleId="107">
    <w:name w:val="标题 5 Char"/>
    <w:link w:val="7"/>
    <w:autoRedefine/>
    <w:semiHidden/>
    <w:qFormat/>
    <w:uiPriority w:val="0"/>
    <w:rPr>
      <w:b/>
      <w:bCs/>
      <w:kern w:val="2"/>
      <w:sz w:val="28"/>
      <w:szCs w:val="28"/>
    </w:rPr>
  </w:style>
  <w:style w:type="character" w:customStyle="1" w:styleId="108">
    <w:name w:val="标题 8 Char"/>
    <w:link w:val="10"/>
    <w:autoRedefine/>
    <w:semiHidden/>
    <w:qFormat/>
    <w:uiPriority w:val="0"/>
    <w:rPr>
      <w:rFonts w:ascii="Cambria" w:hAnsi="Cambria" w:eastAsia="宋体" w:cs="Times New Roman"/>
      <w:kern w:val="2"/>
      <w:sz w:val="24"/>
      <w:szCs w:val="24"/>
    </w:rPr>
  </w:style>
  <w:style w:type="character" w:customStyle="1" w:styleId="109">
    <w:name w:val="副标题 Char"/>
    <w:link w:val="64"/>
    <w:autoRedefine/>
    <w:qFormat/>
    <w:uiPriority w:val="0"/>
    <w:rPr>
      <w:rFonts w:ascii="Cambria" w:hAnsi="Cambria" w:cs="Times New Roman"/>
      <w:b/>
      <w:bCs/>
      <w:kern w:val="28"/>
      <w:sz w:val="32"/>
      <w:szCs w:val="32"/>
    </w:rPr>
  </w:style>
  <w:style w:type="character" w:customStyle="1" w:styleId="110">
    <w:name w:val="标题 Char"/>
    <w:link w:val="84"/>
    <w:autoRedefine/>
    <w:qFormat/>
    <w:uiPriority w:val="0"/>
    <w:rPr>
      <w:rFonts w:ascii="Cambria" w:hAnsi="Cambria" w:cs="Times New Roman"/>
      <w:b/>
      <w:bCs/>
      <w:kern w:val="2"/>
      <w:sz w:val="32"/>
      <w:szCs w:val="32"/>
    </w:rPr>
  </w:style>
  <w:style w:type="character" w:customStyle="1" w:styleId="111">
    <w:name w:val="脚注文本 Char"/>
    <w:link w:val="67"/>
    <w:autoRedefine/>
    <w:qFormat/>
    <w:uiPriority w:val="0"/>
    <w:rPr>
      <w:kern w:val="2"/>
      <w:sz w:val="18"/>
      <w:szCs w:val="18"/>
    </w:rPr>
  </w:style>
  <w:style w:type="character" w:customStyle="1" w:styleId="112">
    <w:name w:val="标题 6 Char"/>
    <w:link w:val="8"/>
    <w:autoRedefine/>
    <w:semiHidden/>
    <w:qFormat/>
    <w:uiPriority w:val="0"/>
    <w:rPr>
      <w:rFonts w:ascii="Cambria" w:hAnsi="Cambria" w:eastAsia="宋体" w:cs="Times New Roman"/>
      <w:b/>
      <w:bCs/>
      <w:kern w:val="2"/>
      <w:sz w:val="24"/>
      <w:szCs w:val="24"/>
    </w:rPr>
  </w:style>
  <w:style w:type="character" w:customStyle="1" w:styleId="113">
    <w:name w:val="电子邮件签名 Char"/>
    <w:link w:val="19"/>
    <w:autoRedefine/>
    <w:qFormat/>
    <w:uiPriority w:val="0"/>
    <w:rPr>
      <w:kern w:val="2"/>
      <w:sz w:val="21"/>
      <w:szCs w:val="24"/>
    </w:rPr>
  </w:style>
  <w:style w:type="character" w:customStyle="1" w:styleId="114">
    <w:name w:val="浅色底纹 - 着色 2 Char"/>
    <w:link w:val="115"/>
    <w:autoRedefine/>
    <w:qFormat/>
    <w:uiPriority w:val="30"/>
    <w:rPr>
      <w:b/>
      <w:bCs/>
      <w:i/>
      <w:iCs/>
      <w:color w:val="4F81BD"/>
      <w:kern w:val="2"/>
      <w:sz w:val="21"/>
      <w:szCs w:val="24"/>
    </w:rPr>
  </w:style>
  <w:style w:type="paragraph" w:customStyle="1" w:styleId="115">
    <w:name w:val="浅色底纹 - 着色 21"/>
    <w:basedOn w:val="1"/>
    <w:next w:val="1"/>
    <w:link w:val="114"/>
    <w:autoRedefine/>
    <w:qFormat/>
    <w:uiPriority w:val="30"/>
    <w:pPr>
      <w:pBdr>
        <w:bottom w:val="single" w:color="4F81BD" w:sz="4" w:space="4"/>
      </w:pBdr>
      <w:spacing w:before="200" w:after="280"/>
      <w:ind w:left="936" w:right="936"/>
    </w:pPr>
    <w:rPr>
      <w:b/>
      <w:bCs/>
      <w:i/>
      <w:iCs/>
      <w:color w:val="4F81BD"/>
    </w:rPr>
  </w:style>
  <w:style w:type="character" w:customStyle="1" w:styleId="116">
    <w:name w:val="日期 Char"/>
    <w:link w:val="50"/>
    <w:autoRedefine/>
    <w:qFormat/>
    <w:uiPriority w:val="0"/>
    <w:rPr>
      <w:kern w:val="2"/>
      <w:sz w:val="21"/>
      <w:szCs w:val="24"/>
    </w:rPr>
  </w:style>
  <w:style w:type="character" w:customStyle="1" w:styleId="117">
    <w:name w:val="正文文本缩进 2 Char"/>
    <w:link w:val="51"/>
    <w:autoRedefine/>
    <w:qFormat/>
    <w:uiPriority w:val="0"/>
    <w:rPr>
      <w:kern w:val="2"/>
      <w:sz w:val="21"/>
      <w:szCs w:val="24"/>
    </w:rPr>
  </w:style>
  <w:style w:type="character" w:customStyle="1" w:styleId="118">
    <w:name w:val="结束语 Char"/>
    <w:link w:val="32"/>
    <w:autoRedefine/>
    <w:qFormat/>
    <w:uiPriority w:val="0"/>
    <w:rPr>
      <w:kern w:val="2"/>
      <w:sz w:val="21"/>
      <w:szCs w:val="24"/>
    </w:rPr>
  </w:style>
  <w:style w:type="character" w:customStyle="1" w:styleId="119">
    <w:name w:val="彩色网格 - 着色 1 Char"/>
    <w:link w:val="120"/>
    <w:autoRedefine/>
    <w:qFormat/>
    <w:uiPriority w:val="29"/>
    <w:rPr>
      <w:i/>
      <w:iCs/>
      <w:color w:val="000000"/>
      <w:kern w:val="2"/>
      <w:sz w:val="21"/>
      <w:szCs w:val="24"/>
    </w:rPr>
  </w:style>
  <w:style w:type="paragraph" w:customStyle="1" w:styleId="120">
    <w:name w:val="彩色网格 - 着色 11"/>
    <w:basedOn w:val="1"/>
    <w:next w:val="1"/>
    <w:link w:val="119"/>
    <w:autoRedefine/>
    <w:qFormat/>
    <w:uiPriority w:val="29"/>
    <w:rPr>
      <w:i/>
      <w:iCs/>
      <w:color w:val="000000"/>
    </w:rPr>
  </w:style>
  <w:style w:type="character" w:customStyle="1" w:styleId="121">
    <w:name w:val="尾注文本 Char"/>
    <w:link w:val="52"/>
    <w:autoRedefine/>
    <w:qFormat/>
    <w:uiPriority w:val="0"/>
    <w:rPr>
      <w:kern w:val="2"/>
      <w:sz w:val="21"/>
      <w:szCs w:val="24"/>
    </w:rPr>
  </w:style>
  <w:style w:type="character" w:customStyle="1" w:styleId="122">
    <w:name w:val="HTML 地址 Char"/>
    <w:link w:val="41"/>
    <w:autoRedefine/>
    <w:qFormat/>
    <w:uiPriority w:val="0"/>
    <w:rPr>
      <w:i/>
      <w:iCs/>
      <w:kern w:val="2"/>
      <w:sz w:val="21"/>
      <w:szCs w:val="24"/>
    </w:rPr>
  </w:style>
  <w:style w:type="character" w:customStyle="1" w:styleId="123">
    <w:name w:val="宏文本 Char"/>
    <w:link w:val="2"/>
    <w:autoRedefine/>
    <w:qFormat/>
    <w:uiPriority w:val="0"/>
    <w:rPr>
      <w:rFonts w:ascii="Courier New" w:hAnsi="Courier New" w:cs="Courier New"/>
      <w:kern w:val="2"/>
      <w:sz w:val="24"/>
      <w:szCs w:val="24"/>
      <w:lang w:val="en-US" w:eastAsia="zh-CN" w:bidi="ar-SA"/>
    </w:rPr>
  </w:style>
  <w:style w:type="character" w:customStyle="1" w:styleId="124">
    <w:name w:val="标题 7 Char"/>
    <w:link w:val="9"/>
    <w:autoRedefine/>
    <w:semiHidden/>
    <w:qFormat/>
    <w:uiPriority w:val="0"/>
    <w:rPr>
      <w:b/>
      <w:bCs/>
      <w:kern w:val="2"/>
      <w:sz w:val="24"/>
      <w:szCs w:val="24"/>
    </w:rPr>
  </w:style>
  <w:style w:type="character" w:customStyle="1" w:styleId="125">
    <w:name w:val="正文文本缩进 3 Char"/>
    <w:link w:val="70"/>
    <w:autoRedefine/>
    <w:qFormat/>
    <w:uiPriority w:val="0"/>
    <w:rPr>
      <w:kern w:val="2"/>
      <w:sz w:val="16"/>
      <w:szCs w:val="16"/>
    </w:rPr>
  </w:style>
  <w:style w:type="character" w:customStyle="1" w:styleId="126">
    <w:name w:val="称呼 Char"/>
    <w:link w:val="30"/>
    <w:autoRedefine/>
    <w:qFormat/>
    <w:uiPriority w:val="0"/>
    <w:rPr>
      <w:kern w:val="2"/>
      <w:sz w:val="21"/>
      <w:szCs w:val="24"/>
    </w:rPr>
  </w:style>
  <w:style w:type="paragraph" w:customStyle="1" w:styleId="127">
    <w:name w:val="网格表 21"/>
    <w:basedOn w:val="1"/>
    <w:next w:val="1"/>
    <w:autoRedefine/>
    <w:unhideWhenUsed/>
    <w:qFormat/>
    <w:uiPriority w:val="37"/>
  </w:style>
  <w:style w:type="paragraph" w:customStyle="1" w:styleId="128">
    <w:name w:val="网格表 31"/>
    <w:basedOn w:val="3"/>
    <w:next w:val="1"/>
    <w:autoRedefine/>
    <w:unhideWhenUsed/>
    <w:qFormat/>
    <w:uiPriority w:val="39"/>
    <w:pPr>
      <w:outlineLvl w:val="9"/>
    </w:pPr>
  </w:style>
  <w:style w:type="paragraph" w:customStyle="1" w:styleId="129">
    <w:name w:val="_Style 12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30">
    <w:name w:val="中等深浅网格 2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彩色列表 - 着色 11"/>
    <w:basedOn w:val="1"/>
    <w:autoRedefine/>
    <w:qFormat/>
    <w:uiPriority w:val="34"/>
    <w:pPr>
      <w:ind w:firstLine="420" w:firstLineChars="200"/>
    </w:pPr>
  </w:style>
  <w:style w:type="paragraph" w:customStyle="1" w:styleId="132">
    <w:name w:val="WPSOffice手动目录 1"/>
    <w:autoRedefine/>
    <w:qFormat/>
    <w:uiPriority w:val="0"/>
    <w:pPr>
      <w:ind w:leftChars="0"/>
    </w:pPr>
    <w:rPr>
      <w:rFonts w:ascii="Times New Roman" w:hAnsi="Times New Roman" w:eastAsia="宋体" w:cs="Times New Roman"/>
      <w:sz w:val="20"/>
      <w:szCs w:val="20"/>
    </w:rPr>
  </w:style>
  <w:style w:type="paragraph" w:customStyle="1" w:styleId="133">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5601</Words>
  <Characters>5896</Characters>
  <Lines>74</Lines>
  <Paragraphs>20</Paragraphs>
  <TotalTime>12</TotalTime>
  <ScaleCrop>false</ScaleCrop>
  <LinksUpToDate>false</LinksUpToDate>
  <CharactersWithSpaces>5982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2021-02-23T16:58:00Z</dcterms:created>
  <dc:creator>郭香麟</dc:creator>
  <cp:lastModifiedBy>Sihang Deng</cp:lastModifiedBy>
  <cp:lastPrinted>2014-02-25T03:18:00Z</cp:lastPrinted>
  <dcterms:modified xsi:type="dcterms:W3CDTF">2026-03-24T06:57:25Z</dcterms:modified>
  <dc:title>目 录</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42CEAB2F37A54DF8B4B43A1C74616876</vt:lpwstr>
  </property>
  <property fmtid="{D5CDD505-2E9C-101B-9397-08002B2CF9AE}" pid="4" name="KSOTemplateDocerSaveRecord">
    <vt:lpwstr>eyJoZGlkIjoiNzAxNDM2N2IyMjI2MjkzYTgyYTEyN2RkM2EyOTJiYjYiLCJ1c2VySWQiOiI2NDAyODU5MjQifQ==</vt:lpwstr>
  </property>
</Properties>
</file>